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6F04CA" w14:textId="4A156967" w:rsidR="00A879A7" w:rsidRDefault="00AC5169" w:rsidP="00AC5169">
      <w:pPr>
        <w:spacing w:after="80"/>
        <w:jc w:val="center"/>
      </w:pPr>
      <w:r>
        <w:rPr>
          <w:rFonts w:ascii="Arial" w:eastAsia="Arial" w:hAnsi="Arial" w:cs="Arial"/>
          <w:i/>
          <w:iCs/>
          <w:noProof/>
          <w:color w:val="595959"/>
          <w:sz w:val="21"/>
          <w:szCs w:val="21"/>
        </w:rPr>
        <w:drawing>
          <wp:anchor distT="0" distB="0" distL="114300" distR="114300" simplePos="0" relativeHeight="251658240" behindDoc="1" locked="0" layoutInCell="1" allowOverlap="1" wp14:anchorId="77A08BB8" wp14:editId="4D25D53F">
            <wp:simplePos x="0" y="0"/>
            <wp:positionH relativeFrom="column">
              <wp:posOffset>1914313</wp:posOffset>
            </wp:positionH>
            <wp:positionV relativeFrom="paragraph">
              <wp:posOffset>-617855</wp:posOffset>
            </wp:positionV>
            <wp:extent cx="1744133" cy="581378"/>
            <wp:effectExtent l="0" t="0" r="0" b="3175"/>
            <wp:wrapNone/>
            <wp:docPr id="79301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19548" name="Picture 79301954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4133" cy="581378"/>
                    </a:xfrm>
                    <a:prstGeom prst="rect">
                      <a:avLst/>
                    </a:prstGeom>
                  </pic:spPr>
                </pic:pic>
              </a:graphicData>
            </a:graphic>
            <wp14:sizeRelH relativeFrom="page">
              <wp14:pctWidth>0</wp14:pctWidth>
            </wp14:sizeRelH>
            <wp14:sizeRelV relativeFrom="page">
              <wp14:pctHeight>0</wp14:pctHeight>
            </wp14:sizeRelV>
          </wp:anchor>
        </w:drawing>
      </w:r>
      <w:r w:rsidR="00000000">
        <w:rPr>
          <w:rFonts w:ascii="Arial" w:eastAsia="Arial" w:hAnsi="Arial" w:cs="Arial"/>
          <w:b/>
          <w:bCs/>
          <w:color w:val="121212"/>
          <w:sz w:val="28"/>
          <w:szCs w:val="28"/>
        </w:rPr>
        <w:t>Financial Watchlist for Ontario BIAs</w:t>
      </w:r>
    </w:p>
    <w:p w14:paraId="3617994B" w14:textId="03C55F8C" w:rsidR="00A879A7" w:rsidRDefault="00000000">
      <w:pPr>
        <w:spacing w:after="200"/>
      </w:pPr>
      <w:r>
        <w:rPr>
          <w:rFonts w:ascii="Arial" w:eastAsia="Arial" w:hAnsi="Arial" w:cs="Arial"/>
          <w:i/>
          <w:iCs/>
          <w:color w:val="595959"/>
          <w:sz w:val="22"/>
          <w:szCs w:val="22"/>
        </w:rPr>
        <w:t>Six Emerging Issues Every Board Should Understand</w:t>
      </w:r>
    </w:p>
    <w:p w14:paraId="426098E7" w14:textId="4481FEB6" w:rsidR="00A879A7" w:rsidRDefault="00000000">
      <w:pPr>
        <w:spacing w:after="60"/>
      </w:pPr>
      <w:r>
        <w:rPr>
          <w:rFonts w:ascii="Arial" w:eastAsia="Arial" w:hAnsi="Arial" w:cs="Arial"/>
          <w:i/>
          <w:iCs/>
          <w:color w:val="595959"/>
          <w:sz w:val="21"/>
          <w:szCs w:val="21"/>
        </w:rPr>
        <w:t>Helping BIA boards understand strategic financial risks and how to plan for them.</w:t>
      </w:r>
    </w:p>
    <w:p w14:paraId="0ED6BAC6" w14:textId="708C8998" w:rsidR="00A879A7" w:rsidRDefault="00A879A7">
      <w:pPr>
        <w:pBdr>
          <w:bottom w:val="single" w:sz="6" w:space="1" w:color="00A0CE"/>
        </w:pBdr>
        <w:spacing w:before="80" w:after="80"/>
      </w:pPr>
    </w:p>
    <w:p w14:paraId="33664832" w14:textId="1778A075" w:rsidR="00A879A7" w:rsidRDefault="00000000" w:rsidP="00181FBA">
      <w:pPr>
        <w:spacing w:after="120"/>
        <w:jc w:val="both"/>
      </w:pPr>
      <w:r>
        <w:rPr>
          <w:rFonts w:ascii="Arial" w:eastAsia="Arial" w:hAnsi="Arial" w:cs="Arial"/>
          <w:color w:val="121212"/>
          <w:sz w:val="21"/>
          <w:szCs w:val="21"/>
        </w:rPr>
        <w:t>Ontario's Business Improvement Areas operate in an environment where property taxation, municipal finance, and commercial assessment policy directly influence the health of their districts. Several emerging issues have the potential to affect BIA finances over the next several years. While each municipality will experience these issues differently, BIA boards should understand the risks, monitor local developments, and begin planning accordingly.</w:t>
      </w:r>
    </w:p>
    <w:p w14:paraId="75EC8552" w14:textId="77777777" w:rsidR="00A879A7" w:rsidRPr="00AC5169" w:rsidRDefault="00000000">
      <w:pPr>
        <w:pBdr>
          <w:left w:val="single" w:sz="18" w:space="0" w:color="007AA3"/>
        </w:pBdr>
        <w:shd w:val="clear" w:color="auto" w:fill="00A0CE"/>
        <w:spacing w:before="280" w:after="140"/>
        <w:ind w:left="120" w:right="120"/>
        <w:rPr>
          <w:color w:val="FFFFFF" w:themeColor="background1"/>
        </w:rPr>
      </w:pPr>
      <w:r w:rsidRPr="00AC5169">
        <w:rPr>
          <w:rFonts w:ascii="Arial" w:eastAsia="Arial" w:hAnsi="Arial" w:cs="Arial"/>
          <w:b/>
          <w:bCs/>
          <w:color w:val="FFFFFF" w:themeColor="background1"/>
          <w:sz w:val="24"/>
          <w:szCs w:val="24"/>
        </w:rPr>
        <w:t>Board Self-Assessment: Key Questions to Ask</w:t>
      </w:r>
    </w:p>
    <w:p w14:paraId="0DC38EDB" w14:textId="77777777" w:rsidR="00A879A7" w:rsidRDefault="00000000">
      <w:pPr>
        <w:spacing w:after="120"/>
        <w:jc w:val="both"/>
      </w:pPr>
      <w:r>
        <w:rPr>
          <w:rFonts w:ascii="Arial" w:eastAsia="Arial" w:hAnsi="Arial" w:cs="Arial"/>
          <w:color w:val="121212"/>
          <w:sz w:val="21"/>
          <w:szCs w:val="21"/>
        </w:rPr>
        <w:t>Before reading the full watchlist, use these questions to identify which issues may be most pressing for your BIA:</w:t>
      </w:r>
    </w:p>
    <w:p w14:paraId="224C28F9" w14:textId="0E03DB9B" w:rsidR="00A879A7" w:rsidRDefault="00000000" w:rsidP="00181FBA">
      <w:pPr>
        <w:pStyle w:val="ListParagraph"/>
        <w:numPr>
          <w:ilvl w:val="0"/>
          <w:numId w:val="3"/>
        </w:numPr>
        <w:spacing w:after="80"/>
      </w:pPr>
      <w:r>
        <w:rPr>
          <w:rFonts w:ascii="Arial" w:eastAsia="Arial" w:hAnsi="Arial" w:cs="Arial"/>
          <w:color w:val="121212"/>
          <w:sz w:val="21"/>
          <w:szCs w:val="21"/>
        </w:rPr>
        <w:t xml:space="preserve">Does our municipality have a strategy for managing tax adjustments, and when </w:t>
      </w:r>
      <w:r w:rsidR="00AC5169">
        <w:rPr>
          <w:rFonts w:ascii="Arial" w:eastAsia="Arial" w:hAnsi="Arial" w:cs="Arial"/>
          <w:color w:val="121212"/>
          <w:sz w:val="21"/>
          <w:szCs w:val="21"/>
        </w:rPr>
        <w:t>is the BIA</w:t>
      </w:r>
      <w:r>
        <w:rPr>
          <w:rFonts w:ascii="Arial" w:eastAsia="Arial" w:hAnsi="Arial" w:cs="Arial"/>
          <w:color w:val="121212"/>
          <w:sz w:val="21"/>
          <w:szCs w:val="21"/>
        </w:rPr>
        <w:t xml:space="preserve"> notified of changes that may affect </w:t>
      </w:r>
      <w:r w:rsidR="00AC5169">
        <w:rPr>
          <w:rFonts w:ascii="Arial" w:eastAsia="Arial" w:hAnsi="Arial" w:cs="Arial"/>
          <w:color w:val="121212"/>
          <w:sz w:val="21"/>
          <w:szCs w:val="21"/>
        </w:rPr>
        <w:t>your</w:t>
      </w:r>
      <w:r>
        <w:rPr>
          <w:rFonts w:ascii="Arial" w:eastAsia="Arial" w:hAnsi="Arial" w:cs="Arial"/>
          <w:color w:val="121212"/>
          <w:sz w:val="21"/>
          <w:szCs w:val="21"/>
        </w:rPr>
        <w:t xml:space="preserve"> levy?</w:t>
      </w:r>
    </w:p>
    <w:p w14:paraId="5ECCA1E3" w14:textId="4F2FAD8F" w:rsidR="00A879A7" w:rsidRDefault="00000000" w:rsidP="00181FBA">
      <w:pPr>
        <w:pStyle w:val="ListParagraph"/>
        <w:numPr>
          <w:ilvl w:val="0"/>
          <w:numId w:val="3"/>
        </w:numPr>
        <w:spacing w:after="80"/>
      </w:pPr>
      <w:r>
        <w:rPr>
          <w:rFonts w:ascii="Arial" w:eastAsia="Arial" w:hAnsi="Arial" w:cs="Arial"/>
          <w:color w:val="121212"/>
          <w:sz w:val="21"/>
          <w:szCs w:val="21"/>
        </w:rPr>
        <w:t xml:space="preserve">Are we maintaining sufficient reserves to manage financial uncertainty </w:t>
      </w:r>
      <w:r w:rsidR="00181FBA">
        <w:rPr>
          <w:rFonts w:ascii="Arial" w:eastAsia="Arial" w:hAnsi="Arial" w:cs="Arial"/>
          <w:color w:val="121212"/>
          <w:sz w:val="21"/>
          <w:szCs w:val="21"/>
        </w:rPr>
        <w:t>-</w:t>
      </w:r>
      <w:r>
        <w:rPr>
          <w:rFonts w:ascii="Arial" w:eastAsia="Arial" w:hAnsi="Arial" w:cs="Arial"/>
          <w:color w:val="121212"/>
          <w:sz w:val="21"/>
          <w:szCs w:val="21"/>
        </w:rPr>
        <w:t xml:space="preserve"> and do we have a written reserve policy?</w:t>
      </w:r>
    </w:p>
    <w:p w14:paraId="6B6B5B9A" w14:textId="77777777" w:rsidR="00A879A7" w:rsidRDefault="00000000" w:rsidP="00181FBA">
      <w:pPr>
        <w:pStyle w:val="ListParagraph"/>
        <w:numPr>
          <w:ilvl w:val="0"/>
          <w:numId w:val="3"/>
        </w:numPr>
        <w:spacing w:after="80"/>
      </w:pPr>
      <w:r>
        <w:rPr>
          <w:rFonts w:ascii="Arial" w:eastAsia="Arial" w:hAnsi="Arial" w:cs="Arial"/>
          <w:color w:val="121212"/>
          <w:sz w:val="21"/>
          <w:szCs w:val="21"/>
        </w:rPr>
        <w:t>Do we understand how our municipality collects our levy, and what happens if a property owner is in tax arrears or a property is demolished or reclassified?</w:t>
      </w:r>
    </w:p>
    <w:p w14:paraId="10A6107E" w14:textId="77777777" w:rsidR="00A879A7" w:rsidRDefault="00000000" w:rsidP="00181FBA">
      <w:pPr>
        <w:pStyle w:val="ListParagraph"/>
        <w:numPr>
          <w:ilvl w:val="0"/>
          <w:numId w:val="3"/>
        </w:numPr>
        <w:spacing w:after="80"/>
      </w:pPr>
      <w:r>
        <w:rPr>
          <w:rFonts w:ascii="Arial" w:eastAsia="Arial" w:hAnsi="Arial" w:cs="Arial"/>
          <w:color w:val="121212"/>
          <w:sz w:val="21"/>
          <w:szCs w:val="21"/>
        </w:rPr>
        <w:t>How would a province-wide reassessment affect businesses and vacancies in our district?</w:t>
      </w:r>
    </w:p>
    <w:p w14:paraId="4DD37AAE" w14:textId="77777777" w:rsidR="00A879A7" w:rsidRDefault="00000000" w:rsidP="00181FBA">
      <w:pPr>
        <w:pStyle w:val="ListParagraph"/>
        <w:numPr>
          <w:ilvl w:val="0"/>
          <w:numId w:val="3"/>
        </w:numPr>
        <w:spacing w:after="80"/>
      </w:pPr>
      <w:r>
        <w:rPr>
          <w:rFonts w:ascii="Arial" w:eastAsia="Arial" w:hAnsi="Arial" w:cs="Arial"/>
          <w:color w:val="121212"/>
          <w:sz w:val="21"/>
          <w:szCs w:val="21"/>
        </w:rPr>
        <w:t>Is our municipality considering the Small Business Property Tax Subclass, and which of our members may be affected?</w:t>
      </w:r>
    </w:p>
    <w:p w14:paraId="7FF998DA" w14:textId="10CC871F" w:rsidR="00A879A7" w:rsidRDefault="00000000" w:rsidP="00181FBA">
      <w:pPr>
        <w:pStyle w:val="ListParagraph"/>
        <w:numPr>
          <w:ilvl w:val="0"/>
          <w:numId w:val="3"/>
        </w:numPr>
        <w:spacing w:after="80"/>
      </w:pPr>
      <w:r>
        <w:rPr>
          <w:rFonts w:ascii="Arial" w:eastAsia="Arial" w:hAnsi="Arial" w:cs="Arial"/>
          <w:color w:val="121212"/>
          <w:sz w:val="21"/>
          <w:szCs w:val="21"/>
        </w:rPr>
        <w:t>Should our BIA be engaging municipal staff and elected officials on these issues before decisions are made?</w:t>
      </w:r>
    </w:p>
    <w:p w14:paraId="2569CFD8" w14:textId="77777777" w:rsidR="00A879A7" w:rsidRDefault="00000000">
      <w:pPr>
        <w:pBdr>
          <w:left w:val="single" w:sz="18" w:space="0" w:color="007AA3"/>
        </w:pBdr>
        <w:shd w:val="clear" w:color="auto" w:fill="00A0CE"/>
        <w:spacing w:before="280" w:after="140"/>
        <w:ind w:left="120" w:right="120"/>
      </w:pPr>
      <w:r>
        <w:rPr>
          <w:rFonts w:ascii="Arial" w:eastAsia="Arial" w:hAnsi="Arial" w:cs="Arial"/>
          <w:b/>
          <w:bCs/>
          <w:color w:val="FFFFFF"/>
          <w:sz w:val="24"/>
          <w:szCs w:val="24"/>
        </w:rPr>
        <w:t>1.  Tax Remissions and Surplus Management</w:t>
      </w:r>
    </w:p>
    <w:p w14:paraId="6757537A" w14:textId="77777777" w:rsidR="00A879A7" w:rsidRDefault="00000000">
      <w:pPr>
        <w:spacing w:after="120"/>
        <w:jc w:val="both"/>
      </w:pPr>
      <w:r>
        <w:rPr>
          <w:rFonts w:ascii="Arial" w:eastAsia="Arial" w:hAnsi="Arial" w:cs="Arial"/>
          <w:color w:val="121212"/>
          <w:sz w:val="21"/>
          <w:szCs w:val="21"/>
        </w:rPr>
        <w:t>Municipal tax adjustments and requests for reconsideration to MPAC continue to represent a growing financial consideration for many Ontario BIAs and municipalities. Whether resulting from assessment appeals, property tax adjustments, redevelopment, disasters, or legislated relief programs, remissions can create unexpected budget pressures that directly affect a BIA levy.</w:t>
      </w:r>
    </w:p>
    <w:p w14:paraId="1C2A7080" w14:textId="77777777" w:rsidR="00A879A7" w:rsidRDefault="00000000">
      <w:pPr>
        <w:pBdr>
          <w:left w:val="single" w:sz="14" w:space="4" w:color="00A0CE"/>
        </w:pBdr>
        <w:shd w:val="clear" w:color="auto" w:fill="E8F6FB"/>
        <w:spacing w:before="100" w:after="100"/>
        <w:ind w:left="200" w:right="200"/>
      </w:pPr>
      <w:r>
        <w:rPr>
          <w:rFonts w:ascii="Arial" w:eastAsia="Arial" w:hAnsi="Arial" w:cs="Arial"/>
          <w:b/>
          <w:bCs/>
          <w:color w:val="00A0CE"/>
          <w:sz w:val="21"/>
          <w:szCs w:val="21"/>
        </w:rPr>
        <w:t xml:space="preserve">Example: </w:t>
      </w:r>
      <w:r>
        <w:rPr>
          <w:rFonts w:ascii="Arial" w:eastAsia="Arial" w:hAnsi="Arial" w:cs="Arial"/>
          <w:color w:val="121212"/>
          <w:sz w:val="21"/>
          <w:szCs w:val="21"/>
        </w:rPr>
        <w:t>If a property owner successfully requests a reconsideration through MPAC, the BIA may be required to repay past levy amounts collected on an incorrectly assessed property value.</w:t>
      </w:r>
    </w:p>
    <w:p w14:paraId="232A97AC" w14:textId="77777777" w:rsidR="00A879A7" w:rsidRDefault="00000000">
      <w:pPr>
        <w:spacing w:before="180" w:after="80"/>
      </w:pPr>
      <w:r>
        <w:rPr>
          <w:rFonts w:ascii="Arial" w:eastAsia="Arial" w:hAnsi="Arial" w:cs="Arial"/>
          <w:b/>
          <w:bCs/>
          <w:color w:val="00A0CE"/>
          <w:sz w:val="22"/>
          <w:szCs w:val="22"/>
        </w:rPr>
        <w:t>Considerations for BIA Boards</w:t>
      </w:r>
    </w:p>
    <w:p w14:paraId="34096BAA"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Understand how your municipality manages tax remissions and whether BIA levies are affected.</w:t>
      </w:r>
    </w:p>
    <w:p w14:paraId="68742BDA"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Build appropriate financial reserves to manage unforeseen revenue fluctuations.</w:t>
      </w:r>
    </w:p>
    <w:p w14:paraId="4BC334E5"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Avoid relying on accumulated surpluses to support ongoing operating expenses.</w:t>
      </w:r>
    </w:p>
    <w:p w14:paraId="1AD101D8"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Use one-time surpluses strategically for: capital investments; pilot projects; reserve contributions; technology upgrades; economic development initiatives; or infrastructure renewal.</w:t>
      </w:r>
    </w:p>
    <w:p w14:paraId="5F408E56" w14:textId="77777777" w:rsidR="00A879A7" w:rsidRDefault="00000000">
      <w:pPr>
        <w:spacing w:after="120"/>
        <w:jc w:val="both"/>
      </w:pPr>
      <w:r>
        <w:rPr>
          <w:rFonts w:ascii="Arial" w:eastAsia="Arial" w:hAnsi="Arial" w:cs="Arial"/>
          <w:i/>
          <w:iCs/>
          <w:color w:val="121212"/>
          <w:sz w:val="21"/>
          <w:szCs w:val="21"/>
        </w:rPr>
        <w:t>Financial sustainability depends on ensuring recurring operating costs are supported by recurring revenues.</w:t>
      </w:r>
    </w:p>
    <w:p w14:paraId="2F21A312" w14:textId="77777777" w:rsidR="00A879A7" w:rsidRDefault="00000000">
      <w:pPr>
        <w:pBdr>
          <w:left w:val="single" w:sz="18" w:space="0" w:color="007AA3"/>
        </w:pBdr>
        <w:shd w:val="clear" w:color="auto" w:fill="00A0CE"/>
        <w:spacing w:before="280" w:after="140"/>
        <w:ind w:left="120" w:right="120"/>
      </w:pPr>
      <w:r>
        <w:rPr>
          <w:rFonts w:ascii="Arial" w:eastAsia="Arial" w:hAnsi="Arial" w:cs="Arial"/>
          <w:b/>
          <w:bCs/>
          <w:color w:val="FFFFFF"/>
          <w:sz w:val="24"/>
          <w:szCs w:val="24"/>
        </w:rPr>
        <w:lastRenderedPageBreak/>
        <w:t>2.  BIA Levy Collection Risk</w:t>
      </w:r>
    </w:p>
    <w:p w14:paraId="3879BB49" w14:textId="77777777" w:rsidR="00A879A7" w:rsidRDefault="00000000">
      <w:pPr>
        <w:spacing w:after="120"/>
        <w:jc w:val="both"/>
      </w:pPr>
      <w:r>
        <w:rPr>
          <w:rFonts w:ascii="Arial" w:eastAsia="Arial" w:hAnsi="Arial" w:cs="Arial"/>
          <w:color w:val="121212"/>
          <w:sz w:val="21"/>
          <w:szCs w:val="21"/>
        </w:rPr>
        <w:t>While municipalities are responsible for collecting the BIA levy on behalf of the BIA, boards should understand that levy revenues are not always fully guaranteed. Several scenarios can reduce or delay levy collections, sometimes with little advance notice to the BIA.</w:t>
      </w:r>
    </w:p>
    <w:p w14:paraId="3112BFE1" w14:textId="77777777" w:rsidR="00A879A7" w:rsidRDefault="00000000">
      <w:pPr>
        <w:spacing w:before="180" w:after="80"/>
      </w:pPr>
      <w:r>
        <w:rPr>
          <w:rFonts w:ascii="Arial" w:eastAsia="Arial" w:hAnsi="Arial" w:cs="Arial"/>
          <w:b/>
          <w:bCs/>
          <w:color w:val="00A0CE"/>
          <w:sz w:val="22"/>
          <w:szCs w:val="22"/>
        </w:rPr>
        <w:t>Risks Boards Should Be Aware Of</w:t>
      </w:r>
    </w:p>
    <w:p w14:paraId="3757E4D8"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Tax arrears: If a property owner falls into tax arrears, the municipality may not remit the corresponding levy portion to the BIA until arrears are resolved, which can take years.</w:t>
      </w:r>
    </w:p>
    <w:p w14:paraId="41F2FE99"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Property demolition: A property that is demolished mid-year may lose its assessment, reducing the levy base. Boards should understand how their municipality handles pro-rated levy adjustments.</w:t>
      </w:r>
    </w:p>
    <w:p w14:paraId="221DFC0A"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Reclassification: If a property is reclassified from commercial to another tax class (such as residential following a conversion), it may no longer be subject to the BIA levy, shrinking the levy base permanently.</w:t>
      </w:r>
    </w:p>
    <w:p w14:paraId="735AD7E8"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Assessment reductions: Successful MPAC appeals or reconsiderations can result in retroactive levy reductions, requiring the BIA to return funds already received and spent.</w:t>
      </w:r>
    </w:p>
    <w:p w14:paraId="7F19DC09" w14:textId="77777777" w:rsidR="00A879A7" w:rsidRDefault="00000000">
      <w:pPr>
        <w:spacing w:before="180" w:after="80"/>
      </w:pPr>
      <w:r>
        <w:rPr>
          <w:rFonts w:ascii="Arial" w:eastAsia="Arial" w:hAnsi="Arial" w:cs="Arial"/>
          <w:b/>
          <w:bCs/>
          <w:color w:val="00A0CE"/>
          <w:sz w:val="22"/>
          <w:szCs w:val="22"/>
        </w:rPr>
        <w:t>Steps Boards Should Take</w:t>
      </w:r>
    </w:p>
    <w:p w14:paraId="1E1B2FBF" w14:textId="091693F9" w:rsidR="00A879A7" w:rsidRDefault="00000000">
      <w:pPr>
        <w:pStyle w:val="ListParagraph"/>
        <w:numPr>
          <w:ilvl w:val="0"/>
          <w:numId w:val="1"/>
        </w:numPr>
        <w:spacing w:after="80"/>
        <w:ind w:left="360" w:hanging="260"/>
      </w:pPr>
      <w:r>
        <w:rPr>
          <w:rFonts w:ascii="Arial" w:eastAsia="Arial" w:hAnsi="Arial" w:cs="Arial"/>
          <w:color w:val="121212"/>
          <w:sz w:val="21"/>
          <w:szCs w:val="21"/>
        </w:rPr>
        <w:t xml:space="preserve">Request confirmation from your municipal contact about how levy shortfalls are handled </w:t>
      </w:r>
      <w:r w:rsidR="00AC5169">
        <w:rPr>
          <w:rFonts w:ascii="Arial" w:eastAsia="Arial" w:hAnsi="Arial" w:cs="Arial"/>
          <w:color w:val="121212"/>
          <w:sz w:val="21"/>
          <w:szCs w:val="21"/>
        </w:rPr>
        <w:t>-</w:t>
      </w:r>
      <w:r>
        <w:rPr>
          <w:rFonts w:ascii="Arial" w:eastAsia="Arial" w:hAnsi="Arial" w:cs="Arial"/>
          <w:color w:val="121212"/>
          <w:sz w:val="21"/>
          <w:szCs w:val="21"/>
        </w:rPr>
        <w:t xml:space="preserve"> does the municipality guarantee full levy remittance regardless of individual property arrears?</w:t>
      </w:r>
    </w:p>
    <w:p w14:paraId="14036A36"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Understand your municipality's timeline for notifying the BIA of assessment changes, demolitions, or reclassifications that affect the levy base.</w:t>
      </w:r>
    </w:p>
    <w:p w14:paraId="620E5974"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Factor levy collection risk into your reserve planning and avoid budgeting at 100% of projected levy revenue.</w:t>
      </w:r>
    </w:p>
    <w:p w14:paraId="5B8AAE0D"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Consider building a modest levy risk buffer into your annual budget as a contingency line.</w:t>
      </w:r>
    </w:p>
    <w:p w14:paraId="72440CAD" w14:textId="77777777" w:rsidR="00A879A7" w:rsidRDefault="00000000">
      <w:pPr>
        <w:pBdr>
          <w:left w:val="single" w:sz="14" w:space="4" w:color="00A0CE"/>
        </w:pBdr>
        <w:shd w:val="clear" w:color="auto" w:fill="E8F6FB"/>
        <w:spacing w:before="100" w:after="100"/>
        <w:ind w:left="200" w:right="200"/>
      </w:pPr>
      <w:r>
        <w:rPr>
          <w:rFonts w:ascii="Arial" w:eastAsia="Arial" w:hAnsi="Arial" w:cs="Arial"/>
          <w:b/>
          <w:bCs/>
          <w:color w:val="00A0CE"/>
          <w:sz w:val="21"/>
          <w:szCs w:val="21"/>
        </w:rPr>
        <w:t xml:space="preserve">Note: </w:t>
      </w:r>
      <w:r>
        <w:rPr>
          <w:rFonts w:ascii="Arial" w:eastAsia="Arial" w:hAnsi="Arial" w:cs="Arial"/>
          <w:color w:val="121212"/>
          <w:sz w:val="21"/>
          <w:szCs w:val="21"/>
        </w:rPr>
        <w:t>The Municipal Act, 2001 requires municipalities to collect the BIA levy but does not explicitly guarantee full remittance to the BIA in all circumstances. Boards should verify the specific arrangement with their municipality.</w:t>
      </w:r>
    </w:p>
    <w:p w14:paraId="23B0B741" w14:textId="77777777" w:rsidR="00A879A7" w:rsidRDefault="00000000">
      <w:pPr>
        <w:pBdr>
          <w:left w:val="single" w:sz="18" w:space="0" w:color="007AA3"/>
        </w:pBdr>
        <w:shd w:val="clear" w:color="auto" w:fill="00A0CE"/>
        <w:spacing w:before="280" w:after="140"/>
        <w:ind w:left="120" w:right="120"/>
      </w:pPr>
      <w:r>
        <w:rPr>
          <w:rFonts w:ascii="Arial" w:eastAsia="Arial" w:hAnsi="Arial" w:cs="Arial"/>
          <w:b/>
          <w:bCs/>
          <w:color w:val="FFFFFF"/>
          <w:sz w:val="24"/>
          <w:szCs w:val="24"/>
        </w:rPr>
        <w:t>3.  Capital Reserve Planning</w:t>
      </w:r>
    </w:p>
    <w:p w14:paraId="4D72F3A8" w14:textId="77777777" w:rsidR="00A879A7" w:rsidRDefault="00000000">
      <w:pPr>
        <w:spacing w:after="120"/>
        <w:jc w:val="both"/>
      </w:pPr>
      <w:r>
        <w:rPr>
          <w:rFonts w:ascii="Arial" w:eastAsia="Arial" w:hAnsi="Arial" w:cs="Arial"/>
          <w:color w:val="121212"/>
          <w:sz w:val="21"/>
          <w:szCs w:val="21"/>
        </w:rPr>
        <w:t>Many BIA boards maintain financial reserves but do so without a formal, written reserve policy. This creates governance risk: without a policy, boards may struggle to justify reserve levels to their municipality, face pressure to spend down surpluses, or lack a clear framework for how and when reserves can be used.</w:t>
      </w:r>
    </w:p>
    <w:p w14:paraId="4DFA52F7" w14:textId="77777777" w:rsidR="00A879A7" w:rsidRDefault="00000000">
      <w:pPr>
        <w:spacing w:before="180" w:after="80"/>
      </w:pPr>
      <w:r>
        <w:rPr>
          <w:rFonts w:ascii="Arial" w:eastAsia="Arial" w:hAnsi="Arial" w:cs="Arial"/>
          <w:b/>
          <w:bCs/>
          <w:color w:val="00A0CE"/>
          <w:sz w:val="22"/>
          <w:szCs w:val="22"/>
        </w:rPr>
        <w:t>Why a Written Reserve Policy Matters</w:t>
      </w:r>
    </w:p>
    <w:p w14:paraId="174DACE4"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The Municipal Act, 2001 does not prescribe a specific reserve policy for BIAs, leaving individual boards without a legislated framework to point to. This makes a board-adopted policy even more important.</w:t>
      </w:r>
    </w:p>
    <w:p w14:paraId="19EE7488"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A written policy demonstrates financial prudence to your municipality and your members, and protects the board from ad hoc pressure to spend reserves inappropriately.</w:t>
      </w:r>
    </w:p>
    <w:p w14:paraId="6BF946BE"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It provides continuity across board transitions, ensuring new members understand the purpose and limits of reserve funds.</w:t>
      </w:r>
    </w:p>
    <w:p w14:paraId="551BCFD9" w14:textId="77777777" w:rsidR="00A879A7" w:rsidRDefault="00000000">
      <w:pPr>
        <w:spacing w:before="180" w:after="80"/>
      </w:pPr>
      <w:r>
        <w:rPr>
          <w:rFonts w:ascii="Arial" w:eastAsia="Arial" w:hAnsi="Arial" w:cs="Arial"/>
          <w:b/>
          <w:bCs/>
          <w:color w:val="00A0CE"/>
          <w:sz w:val="22"/>
          <w:szCs w:val="22"/>
        </w:rPr>
        <w:t>What a Reserve Policy Should Address</w:t>
      </w:r>
    </w:p>
    <w:p w14:paraId="2701962B"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The purpose of the reserve fund (e.g. levy shortfall buffer, capital replacement, emergency contingency).</w:t>
      </w:r>
    </w:p>
    <w:p w14:paraId="02EABD67"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The target reserve level expressed as a percentage of annual levy or a fixed dollar range.</w:t>
      </w:r>
    </w:p>
    <w:p w14:paraId="0270BA5D"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lastRenderedPageBreak/>
        <w:t>The circumstances under which reserves may be drawn upon, and the board approval required to do so.</w:t>
      </w:r>
    </w:p>
    <w:p w14:paraId="39AA4021"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How surpluses are allocated to reserves at year end.</w:t>
      </w:r>
    </w:p>
    <w:p w14:paraId="536B0142"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How the policy is reviewed (annually is recommended).</w:t>
      </w:r>
    </w:p>
    <w:p w14:paraId="4B1C19EB" w14:textId="4237775F" w:rsidR="00A879A7" w:rsidRDefault="00000000">
      <w:pPr>
        <w:pBdr>
          <w:left w:val="single" w:sz="14" w:space="4" w:color="00A0CE"/>
        </w:pBdr>
        <w:shd w:val="clear" w:color="auto" w:fill="E8F6FB"/>
        <w:spacing w:before="100" w:after="100"/>
        <w:ind w:left="200" w:right="200"/>
      </w:pPr>
      <w:r>
        <w:rPr>
          <w:rFonts w:ascii="Arial" w:eastAsia="Arial" w:hAnsi="Arial" w:cs="Arial"/>
          <w:b/>
          <w:bCs/>
          <w:color w:val="00A0CE"/>
          <w:sz w:val="21"/>
          <w:szCs w:val="21"/>
        </w:rPr>
        <w:t xml:space="preserve">OBIAA Resource: </w:t>
      </w:r>
      <w:r>
        <w:rPr>
          <w:rFonts w:ascii="Arial" w:eastAsia="Arial" w:hAnsi="Arial" w:cs="Arial"/>
          <w:color w:val="121212"/>
          <w:sz w:val="21"/>
          <w:szCs w:val="21"/>
        </w:rPr>
        <w:t>Contact OBIAA for the most current resources or to share your existing policy as a best practice example.</w:t>
      </w:r>
    </w:p>
    <w:p w14:paraId="7A53F148" w14:textId="77777777" w:rsidR="00A879A7" w:rsidRDefault="00000000">
      <w:pPr>
        <w:pBdr>
          <w:left w:val="single" w:sz="18" w:space="0" w:color="007AA3"/>
        </w:pBdr>
        <w:shd w:val="clear" w:color="auto" w:fill="00A0CE"/>
        <w:spacing w:before="280" w:after="140"/>
        <w:ind w:left="120" w:right="120"/>
      </w:pPr>
      <w:r>
        <w:rPr>
          <w:rFonts w:ascii="Arial" w:eastAsia="Arial" w:hAnsi="Arial" w:cs="Arial"/>
          <w:b/>
          <w:bCs/>
          <w:color w:val="FFFFFF"/>
          <w:sz w:val="24"/>
          <w:szCs w:val="24"/>
        </w:rPr>
        <w:t>4.  Ontario's Assessment Freeze (MPAC)</w:t>
      </w:r>
    </w:p>
    <w:p w14:paraId="015C4741" w14:textId="05446C13" w:rsidR="00A879A7" w:rsidRDefault="00000000">
      <w:pPr>
        <w:spacing w:after="120"/>
        <w:jc w:val="both"/>
      </w:pPr>
      <w:r>
        <w:rPr>
          <w:rFonts w:ascii="Arial" w:eastAsia="Arial" w:hAnsi="Arial" w:cs="Arial"/>
          <w:color w:val="121212"/>
          <w:sz w:val="21"/>
          <w:szCs w:val="21"/>
        </w:rPr>
        <w:t xml:space="preserve">Ontario's commercial property assessments remain based on 2016 valuation dates, creating one of the largest structural challenges facing the commercial property tax system. The original principle of property taxation </w:t>
      </w:r>
      <w:r w:rsidR="00AC5169">
        <w:rPr>
          <w:rFonts w:ascii="Arial" w:eastAsia="Arial" w:hAnsi="Arial" w:cs="Arial"/>
          <w:color w:val="121212"/>
          <w:sz w:val="21"/>
          <w:szCs w:val="21"/>
        </w:rPr>
        <w:t>-</w:t>
      </w:r>
      <w:r>
        <w:rPr>
          <w:rFonts w:ascii="Arial" w:eastAsia="Arial" w:hAnsi="Arial" w:cs="Arial"/>
          <w:color w:val="121212"/>
          <w:sz w:val="21"/>
          <w:szCs w:val="21"/>
        </w:rPr>
        <w:t xml:space="preserve"> that properties pay taxes based on their relative market value </w:t>
      </w:r>
      <w:r w:rsidR="00AC5169">
        <w:rPr>
          <w:rFonts w:ascii="Arial" w:eastAsia="Arial" w:hAnsi="Arial" w:cs="Arial"/>
          <w:color w:val="121212"/>
          <w:sz w:val="21"/>
          <w:szCs w:val="21"/>
        </w:rPr>
        <w:t>-</w:t>
      </w:r>
      <w:r>
        <w:rPr>
          <w:rFonts w:ascii="Arial" w:eastAsia="Arial" w:hAnsi="Arial" w:cs="Arial"/>
          <w:color w:val="121212"/>
          <w:sz w:val="21"/>
          <w:szCs w:val="21"/>
        </w:rPr>
        <w:t xml:space="preserve"> has become increasingly disconnected from today's commercial real estate market.</w:t>
      </w:r>
    </w:p>
    <w:p w14:paraId="4C2631E6" w14:textId="77777777" w:rsidR="00A879A7" w:rsidRDefault="00000000">
      <w:pPr>
        <w:spacing w:before="180" w:after="80"/>
      </w:pPr>
      <w:r>
        <w:rPr>
          <w:rFonts w:ascii="Arial" w:eastAsia="Arial" w:hAnsi="Arial" w:cs="Arial"/>
          <w:b/>
          <w:bCs/>
          <w:color w:val="00A0CE"/>
          <w:sz w:val="22"/>
          <w:szCs w:val="22"/>
        </w:rPr>
        <w:t>Since 2016:</w:t>
      </w:r>
    </w:p>
    <w:p w14:paraId="7055219D"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Retail markets have changed dramatically.</w:t>
      </w:r>
    </w:p>
    <w:p w14:paraId="0CF78045"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Office demand has shifted significantly.</w:t>
      </w:r>
    </w:p>
    <w:p w14:paraId="0E0090B1"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Industrial values have risen sharply.</w:t>
      </w:r>
    </w:p>
    <w:p w14:paraId="46BB7D90"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Neighbourhood commercial centres have experienced highly variable performance.</w:t>
      </w:r>
    </w:p>
    <w:p w14:paraId="21CCDE0C" w14:textId="77777777" w:rsidR="00A879A7" w:rsidRDefault="00000000">
      <w:pPr>
        <w:spacing w:after="120"/>
        <w:jc w:val="both"/>
      </w:pPr>
      <w:r>
        <w:rPr>
          <w:rFonts w:ascii="Arial" w:eastAsia="Arial" w:hAnsi="Arial" w:cs="Arial"/>
          <w:color w:val="121212"/>
          <w:sz w:val="21"/>
          <w:szCs w:val="21"/>
        </w:rPr>
        <w:t>Without reassessment, businesses occupying properties that have declined or underperformed relative to the broader market continue paying taxes based on outdated values. Meanwhile, properties that have appreciated significantly continue benefiting from comparatively lower tax burdens.</w:t>
      </w:r>
    </w:p>
    <w:p w14:paraId="4B6F38F1" w14:textId="77777777" w:rsidR="00A879A7" w:rsidRDefault="00000000">
      <w:pPr>
        <w:spacing w:before="180" w:after="80"/>
      </w:pPr>
      <w:r>
        <w:rPr>
          <w:rFonts w:ascii="Arial" w:eastAsia="Arial" w:hAnsi="Arial" w:cs="Arial"/>
          <w:b/>
          <w:bCs/>
          <w:color w:val="00A0CE"/>
          <w:sz w:val="22"/>
          <w:szCs w:val="22"/>
        </w:rPr>
        <w:t>Why This Matters for BIAs</w:t>
      </w:r>
    </w:p>
    <w:p w14:paraId="04E85371" w14:textId="77777777" w:rsidR="00A879A7" w:rsidRDefault="00000000">
      <w:pPr>
        <w:spacing w:after="120"/>
        <w:jc w:val="both"/>
      </w:pPr>
      <w:r>
        <w:rPr>
          <w:rFonts w:ascii="Arial" w:eastAsia="Arial" w:hAnsi="Arial" w:cs="Arial"/>
          <w:color w:val="121212"/>
          <w:sz w:val="21"/>
          <w:szCs w:val="21"/>
        </w:rPr>
        <w:t>A future province-wide reassessment could substantially redistribute tax burdens across commercial property classes. Some commercial areas may experience reductions; others could see increases. BIA boards should begin discussing how reassessment could affect their levy base, member businesses, vacancies, redevelopment patterns, and long-term investment in the district.</w:t>
      </w:r>
    </w:p>
    <w:p w14:paraId="254E0C7D" w14:textId="77777777" w:rsidR="00A879A7" w:rsidRDefault="00000000">
      <w:pPr>
        <w:pBdr>
          <w:left w:val="single" w:sz="18" w:space="0" w:color="007AA3"/>
        </w:pBdr>
        <w:shd w:val="clear" w:color="auto" w:fill="00A0CE"/>
        <w:spacing w:before="280" w:after="140"/>
        <w:ind w:left="120" w:right="120"/>
      </w:pPr>
      <w:r>
        <w:rPr>
          <w:rFonts w:ascii="Arial" w:eastAsia="Arial" w:hAnsi="Arial" w:cs="Arial"/>
          <w:b/>
          <w:bCs/>
          <w:color w:val="FFFFFF"/>
          <w:sz w:val="24"/>
          <w:szCs w:val="24"/>
        </w:rPr>
        <w:t>5.  Small Business Property Tax Subclass</w:t>
      </w:r>
    </w:p>
    <w:p w14:paraId="3E41D381" w14:textId="77777777" w:rsidR="00A879A7" w:rsidRDefault="00000000">
      <w:pPr>
        <w:spacing w:after="120"/>
        <w:jc w:val="both"/>
      </w:pPr>
      <w:r>
        <w:rPr>
          <w:rFonts w:ascii="Arial" w:eastAsia="Arial" w:hAnsi="Arial" w:cs="Arial"/>
          <w:color w:val="121212"/>
          <w:sz w:val="21"/>
          <w:szCs w:val="21"/>
        </w:rPr>
        <w:t>Ontario municipalities may choose to implement the Small Business Property Tax Subclass with the objective of reducing property taxes for qualifying small businesses by applying a lower tax rate to eligible commercial properties. While this can provide meaningful tax relief, implementation creates important policy considerations for BIAs.</w:t>
      </w:r>
    </w:p>
    <w:p w14:paraId="7E5BC943" w14:textId="77777777" w:rsidR="00A879A7" w:rsidRDefault="00000000">
      <w:pPr>
        <w:spacing w:before="180" w:after="80"/>
      </w:pPr>
      <w:r>
        <w:rPr>
          <w:rFonts w:ascii="Arial" w:eastAsia="Arial" w:hAnsi="Arial" w:cs="Arial"/>
          <w:b/>
          <w:bCs/>
          <w:color w:val="00A0CE"/>
          <w:sz w:val="22"/>
          <w:szCs w:val="22"/>
        </w:rPr>
        <w:t>Potential Challenges</w:t>
      </w:r>
    </w:p>
    <w:p w14:paraId="22450188" w14:textId="77777777" w:rsidR="00A879A7" w:rsidRDefault="00000000">
      <w:pPr>
        <w:spacing w:after="120"/>
        <w:jc w:val="both"/>
      </w:pPr>
      <w:r>
        <w:rPr>
          <w:rFonts w:ascii="Arial" w:eastAsia="Arial" w:hAnsi="Arial" w:cs="Arial"/>
          <w:color w:val="121212"/>
          <w:sz w:val="21"/>
          <w:szCs w:val="21"/>
        </w:rPr>
        <w:t>The tax reduction provided to qualifying businesses is revenue neutral within the commercial tax class. This means municipalities must recover the reduced taxes elsewhere within the commercial property tax base. Depending on how a municipality designs the program, increased tax responsibility may shift toward:</w:t>
      </w:r>
    </w:p>
    <w:p w14:paraId="4C58915A"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Larger commercial properties.</w:t>
      </w:r>
    </w:p>
    <w:p w14:paraId="7CCD0674"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Shopping centres and major retail.</w:t>
      </w:r>
    </w:p>
    <w:p w14:paraId="607D8B65"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Non-qualifying commercial businesses.</w:t>
      </w:r>
    </w:p>
    <w:p w14:paraId="4B599A40"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Commercial landlords whose properties exceed eligibility thresholds.</w:t>
      </w:r>
    </w:p>
    <w:p w14:paraId="477F6D0E" w14:textId="77777777" w:rsidR="00A879A7" w:rsidRDefault="00000000">
      <w:pPr>
        <w:spacing w:after="120"/>
        <w:jc w:val="both"/>
      </w:pPr>
      <w:r>
        <w:rPr>
          <w:rFonts w:ascii="Arial" w:eastAsia="Arial" w:hAnsi="Arial" w:cs="Arial"/>
          <w:color w:val="121212"/>
          <w:sz w:val="21"/>
          <w:szCs w:val="21"/>
        </w:rPr>
        <w:t xml:space="preserve">For BIAs representing a diverse mix of businesses, this can create differing impacts among members. Boards should understand local eligibility criteria, municipal implementation timelines, </w:t>
      </w:r>
      <w:r>
        <w:rPr>
          <w:rFonts w:ascii="Arial" w:eastAsia="Arial" w:hAnsi="Arial" w:cs="Arial"/>
          <w:color w:val="121212"/>
          <w:sz w:val="21"/>
          <w:szCs w:val="21"/>
        </w:rPr>
        <w:lastRenderedPageBreak/>
        <w:t>estimated financial impacts, and which businesses within the district may benefit or experience increased costs.</w:t>
      </w:r>
    </w:p>
    <w:p w14:paraId="30BF5864" w14:textId="77777777" w:rsidR="00A879A7" w:rsidRDefault="00000000">
      <w:pPr>
        <w:pBdr>
          <w:left w:val="single" w:sz="18" w:space="0" w:color="007AA3"/>
        </w:pBdr>
        <w:shd w:val="clear" w:color="auto" w:fill="00A0CE"/>
        <w:spacing w:before="280" w:after="140"/>
        <w:ind w:left="120" w:right="120"/>
      </w:pPr>
      <w:r>
        <w:rPr>
          <w:rFonts w:ascii="Arial" w:eastAsia="Arial" w:hAnsi="Arial" w:cs="Arial"/>
          <w:b/>
          <w:bCs/>
          <w:color w:val="FFFFFF"/>
          <w:sz w:val="24"/>
          <w:szCs w:val="24"/>
        </w:rPr>
        <w:t>6.  Commercial Vacancy Programs and Municipal Policy</w:t>
      </w:r>
    </w:p>
    <w:p w14:paraId="37AECE05" w14:textId="77777777" w:rsidR="00A879A7" w:rsidRDefault="00000000">
      <w:pPr>
        <w:spacing w:after="120"/>
        <w:jc w:val="both"/>
      </w:pPr>
      <w:r>
        <w:rPr>
          <w:rFonts w:ascii="Arial" w:eastAsia="Arial" w:hAnsi="Arial" w:cs="Arial"/>
          <w:color w:val="121212"/>
          <w:sz w:val="21"/>
          <w:szCs w:val="21"/>
        </w:rPr>
        <w:t>Commercial vacancy policies continue to evolve across Ontario as municipalities respond to changing economic conditions, declining office occupancy, redevelopment activity, and broader tax policy reform. While the provincial vacancy rebate framework has changed in recent years, municipalities now have greater flexibility to design local programs.</w:t>
      </w:r>
    </w:p>
    <w:p w14:paraId="4822598D" w14:textId="77777777" w:rsidR="00A879A7" w:rsidRDefault="00000000">
      <w:pPr>
        <w:spacing w:before="180" w:after="80"/>
      </w:pPr>
      <w:r>
        <w:rPr>
          <w:rFonts w:ascii="Arial" w:eastAsia="Arial" w:hAnsi="Arial" w:cs="Arial"/>
          <w:b/>
          <w:bCs/>
          <w:color w:val="00A0CE"/>
          <w:sz w:val="22"/>
          <w:szCs w:val="22"/>
        </w:rPr>
        <w:t>Examples From Across the Province</w:t>
      </w:r>
    </w:p>
    <w:p w14:paraId="68D257DA"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Vacant Property Registry By-law with escalating fees the longer a property remains vacant (Gravenhurst).</w:t>
      </w:r>
    </w:p>
    <w:p w14:paraId="68813A08"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Commercial Vacancy Assistance Programs providing grants to support interior improvements for incoming tenants (City of Hamilton, City of Toronto).</w:t>
      </w:r>
    </w:p>
    <w:p w14:paraId="409C3E11"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Office to Residential conversion grants (City of Hamilton).</w:t>
      </w:r>
    </w:p>
    <w:p w14:paraId="4505E100" w14:textId="77777777" w:rsidR="00A879A7" w:rsidRDefault="00000000">
      <w:pPr>
        <w:spacing w:after="120"/>
        <w:jc w:val="both"/>
      </w:pPr>
      <w:r>
        <w:rPr>
          <w:rFonts w:ascii="Arial" w:eastAsia="Arial" w:hAnsi="Arial" w:cs="Arial"/>
          <w:color w:val="121212"/>
          <w:sz w:val="21"/>
          <w:szCs w:val="21"/>
        </w:rPr>
        <w:t>Note: Some jurisdictions outside Ontario, such as Vancouver, have implemented commercial vacancy taxes. While not directly applicable under Ontario legislation, these models may influence future provincial or municipal policy discussions.</w:t>
      </w:r>
    </w:p>
    <w:p w14:paraId="0D959A24" w14:textId="77777777" w:rsidR="00A879A7" w:rsidRDefault="00000000">
      <w:pPr>
        <w:spacing w:before="180" w:after="80"/>
      </w:pPr>
      <w:r>
        <w:rPr>
          <w:rFonts w:ascii="Arial" w:eastAsia="Arial" w:hAnsi="Arial" w:cs="Arial"/>
          <w:b/>
          <w:bCs/>
          <w:color w:val="00A0CE"/>
          <w:sz w:val="22"/>
          <w:szCs w:val="22"/>
        </w:rPr>
        <w:t>What BIA Boards Should Monitor</w:t>
      </w:r>
    </w:p>
    <w:p w14:paraId="3F470216"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Whether vacancy rebate or relief programs are under review in your municipality.</w:t>
      </w:r>
    </w:p>
    <w:p w14:paraId="2227E9E0"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How local redevelopment projects may affect the commercial assessment base and your levy.</w:t>
      </w:r>
    </w:p>
    <w:p w14:paraId="7043EEB8"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Whether policy changes could influence BIA levy revenues.</w:t>
      </w:r>
    </w:p>
    <w:p w14:paraId="7929F975" w14:textId="77777777" w:rsidR="00A879A7" w:rsidRDefault="00000000">
      <w:pPr>
        <w:pStyle w:val="ListParagraph"/>
        <w:numPr>
          <w:ilvl w:val="0"/>
          <w:numId w:val="1"/>
        </w:numPr>
        <w:spacing w:after="80"/>
        <w:ind w:left="360" w:hanging="260"/>
      </w:pPr>
      <w:r>
        <w:rPr>
          <w:rFonts w:ascii="Arial" w:eastAsia="Arial" w:hAnsi="Arial" w:cs="Arial"/>
          <w:color w:val="121212"/>
          <w:sz w:val="21"/>
          <w:szCs w:val="21"/>
        </w:rPr>
        <w:t>Opportunities for BIAs to advocate for policies that encourage active storefront occupancy and business attraction rather than prolonged vacancies.</w:t>
      </w:r>
    </w:p>
    <w:p w14:paraId="5A53FE01" w14:textId="7BBE4339" w:rsidR="00A879A7" w:rsidRDefault="00000000">
      <w:pPr>
        <w:spacing w:after="120"/>
        <w:jc w:val="both"/>
      </w:pPr>
      <w:r>
        <w:rPr>
          <w:rFonts w:ascii="Arial" w:eastAsia="Arial" w:hAnsi="Arial" w:cs="Arial"/>
          <w:color w:val="121212"/>
          <w:sz w:val="21"/>
          <w:szCs w:val="21"/>
        </w:rPr>
        <w:t xml:space="preserve">As commercial real estate markets continue to evolve, vacancy policy is becoming an increasingly important economic development tool </w:t>
      </w:r>
      <w:r w:rsidR="00AC5169">
        <w:rPr>
          <w:rFonts w:ascii="Arial" w:eastAsia="Arial" w:hAnsi="Arial" w:cs="Arial"/>
          <w:color w:val="121212"/>
          <w:sz w:val="21"/>
          <w:szCs w:val="21"/>
        </w:rPr>
        <w:t>-</w:t>
      </w:r>
      <w:r>
        <w:rPr>
          <w:rFonts w:ascii="Arial" w:eastAsia="Arial" w:hAnsi="Arial" w:cs="Arial"/>
          <w:color w:val="121212"/>
          <w:sz w:val="21"/>
          <w:szCs w:val="21"/>
        </w:rPr>
        <w:t xml:space="preserve"> not simply a property tax issue. BIAs have an important role to play in ensuring these policies support vibrant, fully occupied Main Streets and commercial districts.</w:t>
      </w:r>
    </w:p>
    <w:p w14:paraId="503CE86B" w14:textId="77777777" w:rsidR="00A879A7" w:rsidRDefault="00000000">
      <w:pPr>
        <w:pBdr>
          <w:bottom w:val="single" w:sz="6" w:space="1" w:color="00A0CE"/>
        </w:pBdr>
        <w:spacing w:before="80" w:after="80"/>
      </w:pPr>
      <w:r>
        <w:t xml:space="preserve"> </w:t>
      </w:r>
    </w:p>
    <w:p w14:paraId="50E9F025" w14:textId="77777777" w:rsidR="00A879A7" w:rsidRDefault="00000000">
      <w:pPr>
        <w:spacing w:after="100"/>
      </w:pPr>
      <w:r>
        <w:rPr>
          <w:rFonts w:ascii="Arial" w:eastAsia="Arial" w:hAnsi="Arial" w:cs="Arial"/>
          <w:b/>
          <w:bCs/>
          <w:color w:val="121212"/>
          <w:sz w:val="23"/>
          <w:szCs w:val="23"/>
        </w:rPr>
        <w:t>Looking Ahead</w:t>
      </w:r>
    </w:p>
    <w:p w14:paraId="39AEA491" w14:textId="77777777" w:rsidR="00A879A7" w:rsidRDefault="00000000">
      <w:pPr>
        <w:spacing w:after="120"/>
        <w:jc w:val="both"/>
      </w:pPr>
      <w:r>
        <w:rPr>
          <w:rFonts w:ascii="Arial" w:eastAsia="Arial" w:hAnsi="Arial" w:cs="Arial"/>
          <w:color w:val="121212"/>
          <w:sz w:val="21"/>
          <w:szCs w:val="21"/>
        </w:rPr>
        <w:t>Property taxation and municipal financial policy remain among the most significant factors affecting the health of Ontario's BIAs. Decisions relating to assessment reform, tax subclasses, levy collection, reserve planning, remissions, and vacancy policies directly influence BIA finances, business costs, commercial investment, and the long-term vitality of Main Streets across the province.</w:t>
      </w:r>
    </w:p>
    <w:p w14:paraId="7BEC2271" w14:textId="77777777" w:rsidR="00A879A7" w:rsidRDefault="00000000">
      <w:pPr>
        <w:spacing w:after="120"/>
        <w:jc w:val="both"/>
      </w:pPr>
      <w:r>
        <w:rPr>
          <w:rFonts w:ascii="Arial" w:eastAsia="Arial" w:hAnsi="Arial" w:cs="Arial"/>
          <w:color w:val="121212"/>
          <w:sz w:val="21"/>
          <w:szCs w:val="21"/>
        </w:rPr>
        <w:t>By understanding these emerging issues and planning proactively, BIA boards can strengthen their financial governance, engage more effectively with municipal partners, and advocate for policies that support resilient local economies.</w:t>
      </w:r>
    </w:p>
    <w:p w14:paraId="2CF24C1A" w14:textId="77777777" w:rsidR="00A879A7" w:rsidRDefault="00A879A7">
      <w:pPr>
        <w:spacing w:after="80"/>
      </w:pPr>
    </w:p>
    <w:p w14:paraId="665E4F72" w14:textId="77777777" w:rsidR="00A879A7" w:rsidRDefault="00000000">
      <w:pPr>
        <w:spacing w:after="40"/>
        <w:jc w:val="center"/>
      </w:pPr>
      <w:r>
        <w:rPr>
          <w:rFonts w:ascii="Arial" w:eastAsia="Arial" w:hAnsi="Arial" w:cs="Arial"/>
          <w:i/>
          <w:iCs/>
          <w:color w:val="00A0CE"/>
          <w:sz w:val="19"/>
          <w:szCs w:val="19"/>
        </w:rPr>
        <w:t>Questions? Contact OBIAA at info@obiaa.com | obiaa.com</w:t>
      </w:r>
    </w:p>
    <w:sectPr w:rsidR="00A879A7">
      <w:pgSz w:w="12240" w:h="15840"/>
      <w:pgMar w:top="1440" w:right="1584" w:bottom="1440" w:left="158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41B07"/>
    <w:multiLevelType w:val="hybridMultilevel"/>
    <w:tmpl w:val="052CDA78"/>
    <w:lvl w:ilvl="0" w:tplc="A8101E6C">
      <w:start w:val="1"/>
      <w:numFmt w:val="bullet"/>
      <w:lvlText w:val="•"/>
      <w:lvlJc w:val="left"/>
      <w:pPr>
        <w:ind w:left="360" w:hanging="260"/>
      </w:pPr>
    </w:lvl>
    <w:lvl w:ilvl="1" w:tplc="9426F05A">
      <w:numFmt w:val="decimal"/>
      <w:lvlText w:val=""/>
      <w:lvlJc w:val="left"/>
    </w:lvl>
    <w:lvl w:ilvl="2" w:tplc="630A0F28">
      <w:numFmt w:val="decimal"/>
      <w:lvlText w:val=""/>
      <w:lvlJc w:val="left"/>
    </w:lvl>
    <w:lvl w:ilvl="3" w:tplc="E5D02282">
      <w:numFmt w:val="decimal"/>
      <w:lvlText w:val=""/>
      <w:lvlJc w:val="left"/>
    </w:lvl>
    <w:lvl w:ilvl="4" w:tplc="35EC2B76">
      <w:numFmt w:val="decimal"/>
      <w:lvlText w:val=""/>
      <w:lvlJc w:val="left"/>
    </w:lvl>
    <w:lvl w:ilvl="5" w:tplc="AD3697CA">
      <w:numFmt w:val="decimal"/>
      <w:lvlText w:val=""/>
      <w:lvlJc w:val="left"/>
    </w:lvl>
    <w:lvl w:ilvl="6" w:tplc="B970A19C">
      <w:numFmt w:val="decimal"/>
      <w:lvlText w:val=""/>
      <w:lvlJc w:val="left"/>
    </w:lvl>
    <w:lvl w:ilvl="7" w:tplc="6EBA7532">
      <w:numFmt w:val="decimal"/>
      <w:lvlText w:val=""/>
      <w:lvlJc w:val="left"/>
    </w:lvl>
    <w:lvl w:ilvl="8" w:tplc="A49EC176">
      <w:numFmt w:val="decimal"/>
      <w:lvlText w:val=""/>
      <w:lvlJc w:val="left"/>
    </w:lvl>
  </w:abstractNum>
  <w:abstractNum w:abstractNumId="1" w15:restartNumberingAfterBreak="0">
    <w:nsid w:val="05787543"/>
    <w:multiLevelType w:val="hybridMultilevel"/>
    <w:tmpl w:val="8C2CFF4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2" w15:restartNumberingAfterBreak="0">
    <w:nsid w:val="3DB330C9"/>
    <w:multiLevelType w:val="hybridMultilevel"/>
    <w:tmpl w:val="73587104"/>
    <w:lvl w:ilvl="0" w:tplc="1C8A4556">
      <w:start w:val="1"/>
      <w:numFmt w:val="bullet"/>
      <w:lvlText w:val="●"/>
      <w:lvlJc w:val="left"/>
      <w:pPr>
        <w:ind w:left="720" w:hanging="360"/>
      </w:pPr>
    </w:lvl>
    <w:lvl w:ilvl="1" w:tplc="5B9032D2">
      <w:start w:val="1"/>
      <w:numFmt w:val="bullet"/>
      <w:lvlText w:val="○"/>
      <w:lvlJc w:val="left"/>
      <w:pPr>
        <w:ind w:left="1440" w:hanging="360"/>
      </w:pPr>
    </w:lvl>
    <w:lvl w:ilvl="2" w:tplc="0E90E860">
      <w:start w:val="1"/>
      <w:numFmt w:val="bullet"/>
      <w:lvlText w:val="■"/>
      <w:lvlJc w:val="left"/>
      <w:pPr>
        <w:ind w:left="2160" w:hanging="360"/>
      </w:pPr>
    </w:lvl>
    <w:lvl w:ilvl="3" w:tplc="2E3E76B6">
      <w:start w:val="1"/>
      <w:numFmt w:val="bullet"/>
      <w:lvlText w:val="●"/>
      <w:lvlJc w:val="left"/>
      <w:pPr>
        <w:ind w:left="2880" w:hanging="360"/>
      </w:pPr>
    </w:lvl>
    <w:lvl w:ilvl="4" w:tplc="C9A42FDC">
      <w:start w:val="1"/>
      <w:numFmt w:val="bullet"/>
      <w:lvlText w:val="○"/>
      <w:lvlJc w:val="left"/>
      <w:pPr>
        <w:ind w:left="3600" w:hanging="360"/>
      </w:pPr>
    </w:lvl>
    <w:lvl w:ilvl="5" w:tplc="60365480">
      <w:start w:val="1"/>
      <w:numFmt w:val="bullet"/>
      <w:lvlText w:val="■"/>
      <w:lvlJc w:val="left"/>
      <w:pPr>
        <w:ind w:left="4320" w:hanging="360"/>
      </w:pPr>
    </w:lvl>
    <w:lvl w:ilvl="6" w:tplc="0A84ED78">
      <w:start w:val="1"/>
      <w:numFmt w:val="bullet"/>
      <w:lvlText w:val="●"/>
      <w:lvlJc w:val="left"/>
      <w:pPr>
        <w:ind w:left="5040" w:hanging="360"/>
      </w:pPr>
    </w:lvl>
    <w:lvl w:ilvl="7" w:tplc="93A0D740">
      <w:start w:val="1"/>
      <w:numFmt w:val="bullet"/>
      <w:lvlText w:val="●"/>
      <w:lvlJc w:val="left"/>
      <w:pPr>
        <w:ind w:left="5760" w:hanging="360"/>
      </w:pPr>
    </w:lvl>
    <w:lvl w:ilvl="8" w:tplc="52505908">
      <w:start w:val="1"/>
      <w:numFmt w:val="bullet"/>
      <w:lvlText w:val="●"/>
      <w:lvlJc w:val="left"/>
      <w:pPr>
        <w:ind w:left="6480" w:hanging="360"/>
      </w:pPr>
    </w:lvl>
  </w:abstractNum>
  <w:num w:numId="1" w16cid:durableId="1859466189">
    <w:abstractNumId w:val="2"/>
    <w:lvlOverride w:ilvl="0">
      <w:startOverride w:val="1"/>
    </w:lvlOverride>
  </w:num>
  <w:num w:numId="2" w16cid:durableId="1931543019">
    <w:abstractNumId w:val="2"/>
  </w:num>
  <w:num w:numId="3" w16cid:durableId="173454186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isplayBackgroundShape/>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9A7"/>
    <w:rsid w:val="00181FBA"/>
    <w:rsid w:val="00321C22"/>
    <w:rsid w:val="003A25D3"/>
    <w:rsid w:val="00466417"/>
    <w:rsid w:val="00A879A7"/>
    <w:rsid w:val="00AC51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247FE"/>
  <w15:docId w15:val="{7C82DC3D-AA20-A44D-8AEA-A6ED7D46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1560</Words>
  <Characters>9386</Characters>
  <Application>Microsoft Office Word</Application>
  <DocSecurity>0</DocSecurity>
  <Lines>165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Andrea Steenbakkers</cp:lastModifiedBy>
  <cp:revision>2</cp:revision>
  <dcterms:created xsi:type="dcterms:W3CDTF">2026-08-11T19:48:00Z</dcterms:created>
  <dcterms:modified xsi:type="dcterms:W3CDTF">2026-08-11T19:48:00Z</dcterms:modified>
</cp:coreProperties>
</file>