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F46" w:rsidP="66ED0703" w:rsidRDefault="2034DEBB" w14:textId="170B1BD4" w14:paraId="33045B28">
      <w:pPr>
        <w:pStyle w:val="Title"/>
        <w:rPr>
          <w:color w:val="00B0F0"/>
        </w:rPr>
      </w:pPr>
      <w:r w:rsidRPr="6FD9EA1C" w:rsidR="2034DEBB">
        <w:rPr>
          <w:color w:val="00ACE0"/>
        </w:rPr>
        <w:t xml:space="preserve">2026 BIA Conference </w:t>
      </w:r>
      <w:r w:rsidRPr="6FD9EA1C" w:rsidR="00717F46">
        <w:rPr>
          <w:color w:val="00ACE0"/>
        </w:rPr>
        <w:t>Justification</w:t>
      </w:r>
      <w:r w:rsidRPr="6FD9EA1C" w:rsidR="00717F46">
        <w:rPr>
          <w:color w:val="00ACE0"/>
          <w:spacing w:val="-13"/>
        </w:rPr>
        <w:t xml:space="preserve"> </w:t>
      </w:r>
      <w:r w:rsidRPr="6FD9EA1C" w:rsidR="00717F46">
        <w:rPr>
          <w:color w:val="00ACE0"/>
        </w:rPr>
        <w:t>Template</w:t>
      </w:r>
      <w:r w:rsidRPr="6FD9EA1C" w:rsidR="00717F46">
        <w:rPr>
          <w:color w:val="00ACE0"/>
          <w:spacing w:val="-12"/>
        </w:rPr>
        <w:t xml:space="preserve"> </w:t>
      </w:r>
      <w:r w:rsidRPr="6FD9EA1C" w:rsidR="00717F46">
        <w:rPr>
          <w:color w:val="00ACE0"/>
          <w:spacing w:val="-2"/>
        </w:rPr>
        <w:t>Letter</w:t>
      </w:r>
    </w:p>
    <w:p w:rsidR="00100236" w:rsidP="6FD9EA1C" w:rsidRDefault="00100236" w14:paraId="4F50EFDC" w14:textId="0344ACFC">
      <w:pPr>
        <w:pStyle w:val="Normal"/>
        <w:spacing w:before="281"/>
        <w:rPr>
          <w:b w:val="1"/>
          <w:bCs w:val="1"/>
          <w:sz w:val="24"/>
          <w:szCs w:val="24"/>
        </w:rPr>
      </w:pPr>
      <w:r w:rsidRPr="6FD9EA1C" w:rsidR="6FD9EA1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Dear </w:t>
      </w:r>
      <w:r w:rsidRPr="6FD9EA1C" w:rsidR="6FD9EA1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Board</w:t>
      </w:r>
      <w:r w:rsidRPr="6FD9EA1C" w:rsidR="6FD9EA1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&lt;or Manager’s Name&gt;,</w:t>
      </w:r>
    </w:p>
    <w:p w:rsidR="00100236" w:rsidP="6B959DBC" w:rsidRDefault="00100236" w14:paraId="04E3C163" w14:textId="72C14B2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B959DBC" w:rsidR="6FD9EA1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 am requesting approval to register for the 2026 OBIAA Annual BIA Conference, taking place April 19–22, 2026, at the Holiday Inn &amp; Suites Parkway Conference Centre in St. Catharines, Ontario. </w:t>
      </w:r>
    </w:p>
    <w:p w:rsidR="00100236" w:rsidP="6FD9EA1C" w:rsidRDefault="00100236" w14:paraId="6BA09C93" w14:textId="621C0701">
      <w:pPr>
        <w:spacing w:before="240" w:beforeAutospacing="off" w:after="240" w:afterAutospacing="off"/>
      </w:pPr>
      <w:r w:rsidRPr="6B959DBC" w:rsidR="6FD9EA1C">
        <w:rPr>
          <w:rFonts w:ascii="Calibri" w:hAnsi="Calibri" w:eastAsia="Calibri" w:cs="Calibri"/>
          <w:noProof w:val="0"/>
          <w:sz w:val="24"/>
          <w:szCs w:val="24"/>
          <w:lang w:val="en-US"/>
        </w:rPr>
        <w:t>This conference is the premier professional development and networking opportunity for BIAs</w:t>
      </w:r>
      <w:r w:rsidRPr="6B959DBC" w:rsidR="6AFAB5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Main Street supporters</w:t>
      </w:r>
      <w:r w:rsidRPr="6B959DBC" w:rsidR="6FD9EA1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across Ontario. It provides direct access to BIA leaders, municipal partners, industry suppliers, and subject matter experts whose insights can directly support our current priorities and long-term planning.</w:t>
      </w:r>
    </w:p>
    <w:p w:rsidR="00100236" w:rsidP="6FD9EA1C" w:rsidRDefault="00100236" w14:paraId="612D5176" w14:textId="7743D829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6FD9EA1C" w:rsidR="6FD9EA1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Conference Relevance &amp; Programming Highlights</w:t>
      </w:r>
    </w:p>
    <w:p w:rsidR="00100236" w:rsidP="6FD9EA1C" w:rsidRDefault="00100236" w14:paraId="3DB56214" w14:textId="4D798CCE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The 2026 theme, </w:t>
      </w:r>
      <w:r w:rsidRPr="6FD9EA1C" w:rsidR="6FD9EA1C">
        <w:rPr>
          <w:rFonts w:ascii="Calibri" w:hAnsi="Calibri" w:eastAsia="Calibri" w:cs="Calibri"/>
          <w:i w:val="1"/>
          <w:iCs w:val="1"/>
          <w:noProof w:val="0"/>
          <w:color w:val="auto"/>
          <w:sz w:val="24"/>
          <w:szCs w:val="24"/>
          <w:lang w:val="en-US"/>
        </w:rPr>
        <w:t>Main Streets in Bloom: BIAs Rooted in Purpose</w:t>
      </w: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, aligns closely with our mandate and ongoing initiatives. The program includes sessions across all core areas of BIA work, including:</w:t>
      </w:r>
    </w:p>
    <w:p w:rsidR="00100236" w:rsidP="6FD9EA1C" w:rsidRDefault="00100236" w14:paraId="5B0A41B9" w14:textId="356D8502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Leadership &amp; governance</w:t>
      </w:r>
      <w:r>
        <w:br/>
      </w: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Economic development &amp; business support</w:t>
      </w:r>
      <w:r>
        <w:br/>
      </w: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Marketing, promotions &amp; digital engagement</w:t>
      </w:r>
      <w:r>
        <w:br/>
      </w: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Events, activations &amp; community-building</w:t>
      </w:r>
      <w:r>
        <w:br/>
      </w: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Placemaking &amp; public realm improvements</w:t>
      </w:r>
      <w:r>
        <w:br/>
      </w: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Operations, data-informed decision-making &amp; strategic planning</w:t>
      </w:r>
    </w:p>
    <w:p w:rsidR="00100236" w:rsidP="6FD9EA1C" w:rsidRDefault="00100236" w14:paraId="7163242E" w14:textId="53F90FA9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B959DBC" w:rsidR="6FD9EA1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Mobile Tours</w:t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are also part of the programming, offering first-hand, boots-on-the-ground experience visiting host-community BIAs and learning directly from their successes, challenges, and innovative approaches. These tours provide valuable, practical insights that are not </w:t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currently</w:t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available elsewhere.</w:t>
      </w:r>
    </w:p>
    <w:p w:rsidR="292F9EEA" w:rsidP="6B959DBC" w:rsidRDefault="292F9EEA" w14:paraId="14AE0E78" w14:textId="74D16CA8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B959DBC" w:rsidR="292F9EE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Awards</w:t>
      </w:r>
      <w:r w:rsidRPr="6B959DBC" w:rsidR="292F9EE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Gala</w:t>
      </w:r>
      <w:r w:rsidRPr="6B959DBC" w:rsidR="292F9EEA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will provide</w:t>
      </w:r>
      <w:r w:rsidRPr="6B959DBC" w:rsidR="5B66BC0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direct exposure to innovative projects, creative solutions, and successful partnerships from across Ontario. It provides actionable ideas they I bring back to enhance local economic development, community engagement, and Main Street revitalization. We have also </w:t>
      </w:r>
      <w:r w:rsidRPr="6B959DBC" w:rsidR="5B66BC06">
        <w:rPr>
          <w:rFonts w:ascii="Calibri" w:hAnsi="Calibri" w:eastAsia="Calibri" w:cs="Calibri"/>
          <w:noProof w:val="0"/>
          <w:sz w:val="24"/>
          <w:szCs w:val="24"/>
          <w:lang w:val="en-US"/>
        </w:rPr>
        <w:t>submitted</w:t>
      </w:r>
      <w:r w:rsidRPr="6B959DBC" w:rsidR="5B66BC0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 award application fo</w:t>
      </w:r>
      <w:r w:rsidRPr="6B959DBC" w:rsidR="1F4352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 &lt;Project name&gt; that we hope to have recognized on this Provincial stage. </w:t>
      </w:r>
    </w:p>
    <w:p w:rsidR="00100236" w:rsidP="6FD9EA1C" w:rsidRDefault="00100236" w14:paraId="659321B5" w14:textId="42F07773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6A99F87" w:rsidR="6FD9EA1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Social Events</w:t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such as the Sunday Dinner, Pre-Conference Tours, and the Hospitality Suite at this year’s Hodgie’s Social House also create relaxed networking opportunities for deeper conversations and stronger peer and partner connections</w:t>
      </w:r>
      <w:r w:rsidRPr="06A99F87" w:rsidR="3E6C47F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, </w:t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relationships that support long-term </w:t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collaboration and problem-solving.</w:t>
      </w:r>
    </w:p>
    <w:p w:rsidR="00100236" w:rsidP="6FD9EA1C" w:rsidRDefault="00100236" w14:paraId="3B7D3120" w14:textId="280F7A6F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I have </w:t>
      </w: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identified</w:t>
      </w: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several sessions that directly support our strategic goals and current projects:</w:t>
      </w:r>
    </w:p>
    <w:p w:rsidR="00100236" w:rsidP="6FD9EA1C" w:rsidRDefault="00100236" w14:paraId="049A6BD0" w14:textId="6EA6BECB">
      <w:pPr>
        <w:spacing w:before="281"/>
      </w:pPr>
      <w:r w:rsidRPr="10B808DC" w:rsidR="6FD9EA1C">
        <w:rPr>
          <w:rFonts w:ascii="Calibri" w:hAnsi="Calibri" w:eastAsia="Calibri" w:cs="Calibri"/>
          <w:i w:val="1"/>
          <w:iCs w:val="1"/>
          <w:noProof w:val="0"/>
          <w:color w:val="auto"/>
          <w:sz w:val="24"/>
          <w:szCs w:val="24"/>
          <w:lang w:val="en-US"/>
        </w:rPr>
        <w:t>&lt;Insert the session descriptions most relevant to your role and initiatives.&gt;</w:t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w:rsidR="00100236" w:rsidP="6FD9EA1C" w:rsidRDefault="00100236" w14:paraId="72013523" w14:textId="215906F0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6FD9EA1C" w:rsidR="6FD9EA1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Meals Included with Full Registration</w:t>
      </w:r>
    </w:p>
    <w:p w:rsidR="6FD9EA1C" w:rsidP="10B808DC" w:rsidRDefault="6FD9EA1C" w14:paraId="042AF557" w14:textId="18124763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Full Conference Registration includes all core meals, reducing the need for </w:t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additional</w:t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budget:</w:t>
      </w:r>
      <w:r>
        <w:br/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Sunday – Trade Show Reception (passed hors d’oeuvres)</w:t>
      </w:r>
      <w:r>
        <w:br/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Monday–</w:t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Wednesday – Hot breakfast and lunch daily</w:t>
      </w:r>
      <w:r>
        <w:br/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• </w:t>
      </w:r>
      <w:r w:rsidRPr="06A99F87" w:rsidR="48101FB8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Monday</w:t>
      </w:r>
      <w:r w:rsidRPr="06A99F87" w:rsidR="2272DF3D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6A99F87" w:rsidR="48101FB8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–</w:t>
      </w:r>
      <w:r w:rsidRPr="06A99F87" w:rsidR="4819088D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6A99F87" w:rsidR="48101FB8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Attendance and </w:t>
      </w:r>
      <w:r w:rsidRPr="06A99F87" w:rsidR="6F727D6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plated </w:t>
      </w:r>
      <w:r w:rsidRPr="06A99F87" w:rsidR="48101FB8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meal at the BIA Awards Gala (full registration only)</w:t>
      </w:r>
      <w:r>
        <w:br/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• </w:t>
      </w:r>
      <w:r w:rsidRPr="06A99F87" w:rsidR="5EF52B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Monday &amp; Tuesday – Afternoon snack breaks</w:t>
      </w:r>
    </w:p>
    <w:p w:rsidR="00100236" w:rsidP="6FD9EA1C" w:rsidRDefault="00100236" w14:paraId="1E1D8504" w14:textId="4897C76F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6FD9EA1C" w:rsidR="6FD9EA1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Supplier Showcase (Trade Show)</w:t>
      </w:r>
    </w:p>
    <w:p w:rsidR="00100236" w:rsidP="10B808DC" w:rsidRDefault="00100236" w14:paraId="16E427F6" w14:textId="7AE2E9D7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Conference registration includes access to the Main Street Supplier Showcase, where I can connect with exhibitors offering services, programs, and tools that support BIA operations, placemaking, beautification, events, marketing, membership engagement, and economic development. This helps </w:t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identify</w:t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potential partners and cost-saving solutions that </w:t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benefit</w:t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our BIA</w:t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</w:p>
    <w:p w:rsidR="00100236" w:rsidP="10B808DC" w:rsidRDefault="00100236" w14:paraId="17698B8F" w14:textId="079C5CA6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10B808DC" w:rsidR="6FD9EA1C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Cost Summary</w:t>
      </w:r>
    </w:p>
    <w:p w:rsidR="00100236" w:rsidP="10B808DC" w:rsidRDefault="00100236" w14:paraId="350787AC" w14:textId="774F8F23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0B808DC" w:rsidR="7FC88F7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Attending the conference represents a cost-effective professional development investment. </w:t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Below is an estimated breakdown of the costs associated with attending:</w:t>
      </w:r>
    </w:p>
    <w:p w:rsidR="00100236" w:rsidP="6FD9EA1C" w:rsidRDefault="00100236" w14:paraId="7827B90D" w14:textId="2E499F1B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6FD9EA1C" w:rsidR="6FD9EA1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Registration Fees</w:t>
      </w:r>
    </w:p>
    <w:tbl>
      <w:tblPr>
        <w:tblStyle w:val="TableNormal"/>
        <w:bidiVisual w:val="0"/>
        <w:tblW w:w="9066" w:type="dxa"/>
        <w:jc w:val="left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3495"/>
        <w:gridCol w:w="3531"/>
        <w:gridCol w:w="2040"/>
      </w:tblGrid>
      <w:tr w:rsidR="6FD9EA1C" w:rsidTr="10B808DC" w14:paraId="468C1CDA">
        <w:trPr>
          <w:trHeight w:val="300"/>
        </w:trPr>
        <w:tc>
          <w:tcPr>
            <w:tcW w:w="3495" w:type="dxa"/>
            <w:tcMar/>
            <w:vAlign w:val="center"/>
          </w:tcPr>
          <w:p w:rsidR="6FD9EA1C" w:rsidP="6FD9EA1C" w:rsidRDefault="6FD9EA1C" w14:paraId="76FF7A80" w14:textId="64977975">
            <w:pPr>
              <w:spacing w:before="0" w:beforeAutospacing="off" w:after="0" w:afterAutospacing="off"/>
              <w:jc w:val="left"/>
              <w:rPr>
                <w:b w:val="1"/>
                <w:bCs w:val="1"/>
                <w:color w:val="auto"/>
              </w:rPr>
            </w:pPr>
            <w:r w:rsidRPr="6FD9EA1C" w:rsidR="6FD9EA1C">
              <w:rPr>
                <w:b w:val="1"/>
                <w:bCs w:val="1"/>
                <w:color w:val="auto"/>
              </w:rPr>
              <w:t>Registration Type</w:t>
            </w:r>
          </w:p>
        </w:tc>
        <w:tc>
          <w:tcPr>
            <w:tcW w:w="3531" w:type="dxa"/>
            <w:tcMar/>
            <w:vAlign w:val="center"/>
          </w:tcPr>
          <w:p w:rsidR="6FD9EA1C" w:rsidP="6FD9EA1C" w:rsidRDefault="6FD9EA1C" w14:paraId="357AC323" w14:textId="40407AC8">
            <w:pPr>
              <w:spacing w:before="0" w:beforeAutospacing="off" w:after="0" w:afterAutospacing="off"/>
              <w:jc w:val="left"/>
              <w:rPr>
                <w:b w:val="1"/>
                <w:bCs w:val="1"/>
                <w:color w:val="auto"/>
              </w:rPr>
            </w:pPr>
            <w:r w:rsidRPr="10B808DC" w:rsidR="6FD9EA1C">
              <w:rPr>
                <w:b w:val="1"/>
                <w:bCs w:val="1"/>
                <w:color w:val="auto"/>
              </w:rPr>
              <w:t xml:space="preserve">Early Registration </w:t>
            </w:r>
            <w:r w:rsidRPr="10B808DC" w:rsidR="6FD9EA1C">
              <w:rPr>
                <w:b w:val="1"/>
                <w:bCs w:val="1"/>
                <w:color w:val="auto"/>
              </w:rPr>
              <w:t>(by Feb 6, 2026)</w:t>
            </w:r>
          </w:p>
        </w:tc>
        <w:tc>
          <w:tcPr>
            <w:tcW w:w="2040" w:type="dxa"/>
            <w:tcMar/>
            <w:vAlign w:val="center"/>
          </w:tcPr>
          <w:p w:rsidR="6FD9EA1C" w:rsidP="6FD9EA1C" w:rsidRDefault="6FD9EA1C" w14:paraId="26261F37" w14:textId="7AFFF5BB">
            <w:pPr>
              <w:spacing w:before="0" w:beforeAutospacing="off" w:after="0" w:afterAutospacing="off"/>
              <w:jc w:val="left"/>
              <w:rPr>
                <w:b w:val="1"/>
                <w:bCs w:val="1"/>
                <w:color w:val="auto"/>
              </w:rPr>
            </w:pPr>
            <w:r w:rsidRPr="6FD9EA1C" w:rsidR="6FD9EA1C">
              <w:rPr>
                <w:b w:val="1"/>
                <w:bCs w:val="1"/>
                <w:color w:val="auto"/>
              </w:rPr>
              <w:t>Full Registration</w:t>
            </w:r>
          </w:p>
        </w:tc>
      </w:tr>
      <w:tr w:rsidR="6FD9EA1C" w:rsidTr="10B808DC" w14:paraId="1CAA5BE9">
        <w:trPr>
          <w:trHeight w:val="300"/>
        </w:trPr>
        <w:tc>
          <w:tcPr>
            <w:tcW w:w="3495" w:type="dxa"/>
            <w:tcMar/>
            <w:vAlign w:val="center"/>
          </w:tcPr>
          <w:p w:rsidR="6FD9EA1C" w:rsidP="6FD9EA1C" w:rsidRDefault="6FD9EA1C" w14:paraId="126F1360" w14:textId="5396840F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OBIAA Member</w:t>
            </w:r>
          </w:p>
        </w:tc>
        <w:tc>
          <w:tcPr>
            <w:tcW w:w="3531" w:type="dxa"/>
            <w:tcMar/>
            <w:vAlign w:val="center"/>
          </w:tcPr>
          <w:p w:rsidR="6FD9EA1C" w:rsidP="6FD9EA1C" w:rsidRDefault="6FD9EA1C" w14:paraId="23CF0B77" w14:textId="221CE088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$899</w:t>
            </w:r>
          </w:p>
        </w:tc>
        <w:tc>
          <w:tcPr>
            <w:tcW w:w="2040" w:type="dxa"/>
            <w:tcMar/>
            <w:vAlign w:val="center"/>
          </w:tcPr>
          <w:p w:rsidR="6FD9EA1C" w:rsidP="6FD9EA1C" w:rsidRDefault="6FD9EA1C" w14:paraId="62BE1329" w14:textId="7DCFBC7A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$999</w:t>
            </w:r>
          </w:p>
        </w:tc>
      </w:tr>
      <w:tr w:rsidR="6FD9EA1C" w:rsidTr="10B808DC" w14:paraId="5E120E08">
        <w:trPr>
          <w:trHeight w:val="300"/>
        </w:trPr>
        <w:tc>
          <w:tcPr>
            <w:tcW w:w="3495" w:type="dxa"/>
            <w:tcMar/>
            <w:vAlign w:val="center"/>
          </w:tcPr>
          <w:p w:rsidR="6FD9EA1C" w:rsidP="6FD9EA1C" w:rsidRDefault="6FD9EA1C" w14:paraId="234B28A1" w14:textId="078AF1CA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Non-Member</w:t>
            </w:r>
          </w:p>
        </w:tc>
        <w:tc>
          <w:tcPr>
            <w:tcW w:w="3531" w:type="dxa"/>
            <w:tcMar/>
            <w:vAlign w:val="center"/>
          </w:tcPr>
          <w:p w:rsidR="6FD9EA1C" w:rsidP="6FD9EA1C" w:rsidRDefault="6FD9EA1C" w14:paraId="481CA521" w14:textId="63FE45F4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$999</w:t>
            </w:r>
          </w:p>
        </w:tc>
        <w:tc>
          <w:tcPr>
            <w:tcW w:w="2040" w:type="dxa"/>
            <w:tcMar/>
            <w:vAlign w:val="center"/>
          </w:tcPr>
          <w:p w:rsidR="6FD9EA1C" w:rsidP="6FD9EA1C" w:rsidRDefault="6FD9EA1C" w14:paraId="45F90F03" w14:textId="7B32BD6E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$1,099</w:t>
            </w:r>
          </w:p>
        </w:tc>
      </w:tr>
      <w:tr w:rsidR="6FD9EA1C" w:rsidTr="10B808DC" w14:paraId="2C6B97DE">
        <w:trPr>
          <w:trHeight w:val="300"/>
        </w:trPr>
        <w:tc>
          <w:tcPr>
            <w:tcW w:w="3495" w:type="dxa"/>
            <w:tcMar/>
            <w:vAlign w:val="center"/>
          </w:tcPr>
          <w:p w:rsidR="6FD9EA1C" w:rsidP="6FD9EA1C" w:rsidRDefault="6FD9EA1C" w14:paraId="6DC453BB" w14:textId="6F8BAAA0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Student</w:t>
            </w:r>
          </w:p>
        </w:tc>
        <w:tc>
          <w:tcPr>
            <w:tcW w:w="3531" w:type="dxa"/>
            <w:tcMar/>
            <w:vAlign w:val="center"/>
          </w:tcPr>
          <w:p w:rsidR="6FD9EA1C" w:rsidP="6FD9EA1C" w:rsidRDefault="6FD9EA1C" w14:paraId="6E65A992" w14:textId="769D7373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$605</w:t>
            </w:r>
          </w:p>
        </w:tc>
        <w:tc>
          <w:tcPr>
            <w:tcW w:w="2040" w:type="dxa"/>
            <w:tcMar/>
            <w:vAlign w:val="center"/>
          </w:tcPr>
          <w:p w:rsidR="6FD9EA1C" w:rsidP="6FD9EA1C" w:rsidRDefault="6FD9EA1C" w14:paraId="1B3E992E" w14:textId="45DD1BAB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$705</w:t>
            </w:r>
          </w:p>
        </w:tc>
      </w:tr>
      <w:tr w:rsidR="6FD9EA1C" w:rsidTr="10B808DC" w14:paraId="13DE2DC4">
        <w:trPr>
          <w:trHeight w:val="300"/>
        </w:trPr>
        <w:tc>
          <w:tcPr>
            <w:tcW w:w="3495" w:type="dxa"/>
            <w:tcMar/>
            <w:vAlign w:val="center"/>
          </w:tcPr>
          <w:p w:rsidR="6FD9EA1C" w:rsidP="6FD9EA1C" w:rsidRDefault="6FD9EA1C" w14:paraId="32DB39FB" w14:textId="3B321DE1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Group Rate (3+ attendees)</w:t>
            </w:r>
          </w:p>
        </w:tc>
        <w:tc>
          <w:tcPr>
            <w:tcW w:w="3531" w:type="dxa"/>
            <w:tcMar/>
            <w:vAlign w:val="center"/>
          </w:tcPr>
          <w:p w:rsidR="6FD9EA1C" w:rsidP="6FD9EA1C" w:rsidRDefault="6FD9EA1C" w14:paraId="78B77675" w14:textId="4446DB46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$875 per person</w:t>
            </w:r>
          </w:p>
        </w:tc>
        <w:tc>
          <w:tcPr>
            <w:tcW w:w="2040" w:type="dxa"/>
            <w:tcMar/>
            <w:vAlign w:val="center"/>
          </w:tcPr>
          <w:p w:rsidR="6FD9EA1C" w:rsidP="6FD9EA1C" w:rsidRDefault="6FD9EA1C" w14:paraId="066E9A47" w14:textId="387DA8A0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$975 per person</w:t>
            </w:r>
          </w:p>
        </w:tc>
      </w:tr>
      <w:tr w:rsidR="6FD9EA1C" w:rsidTr="10B808DC" w14:paraId="31A33E1C">
        <w:trPr>
          <w:trHeight w:val="300"/>
        </w:trPr>
        <w:tc>
          <w:tcPr>
            <w:tcW w:w="3495" w:type="dxa"/>
            <w:tcMar/>
            <w:vAlign w:val="center"/>
          </w:tcPr>
          <w:p w:rsidR="6FD9EA1C" w:rsidP="6FD9EA1C" w:rsidRDefault="6FD9EA1C" w14:paraId="02B866FA" w14:textId="6383FA3C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Daily Registration – OBIAA Member</w:t>
            </w:r>
          </w:p>
        </w:tc>
        <w:tc>
          <w:tcPr>
            <w:tcW w:w="3531" w:type="dxa"/>
            <w:tcMar/>
            <w:vAlign w:val="center"/>
          </w:tcPr>
          <w:p w:rsidR="6FD9EA1C" w:rsidP="6FD9EA1C" w:rsidRDefault="6FD9EA1C" w14:paraId="1CACC45A" w14:textId="5F151F3D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$450</w:t>
            </w:r>
          </w:p>
        </w:tc>
        <w:tc>
          <w:tcPr>
            <w:tcW w:w="2040" w:type="dxa"/>
            <w:tcMar/>
            <w:vAlign w:val="center"/>
          </w:tcPr>
          <w:p w:rsidR="6FD9EA1C" w:rsidP="6FD9EA1C" w:rsidRDefault="6FD9EA1C" w14:paraId="043CFD75" w14:textId="54B26474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$550</w:t>
            </w:r>
          </w:p>
        </w:tc>
      </w:tr>
      <w:tr w:rsidR="6FD9EA1C" w:rsidTr="10B808DC" w14:paraId="7ADD88B1">
        <w:trPr>
          <w:trHeight w:val="300"/>
        </w:trPr>
        <w:tc>
          <w:tcPr>
            <w:tcW w:w="3495" w:type="dxa"/>
            <w:tcMar/>
            <w:vAlign w:val="center"/>
          </w:tcPr>
          <w:p w:rsidR="6FD9EA1C" w:rsidP="6FD9EA1C" w:rsidRDefault="6FD9EA1C" w14:paraId="1D21D0A7" w14:textId="2C1DA790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Daily Registration – Non-Member</w:t>
            </w:r>
          </w:p>
        </w:tc>
        <w:tc>
          <w:tcPr>
            <w:tcW w:w="3531" w:type="dxa"/>
            <w:tcMar/>
            <w:vAlign w:val="center"/>
          </w:tcPr>
          <w:p w:rsidR="6FD9EA1C" w:rsidP="6FD9EA1C" w:rsidRDefault="6FD9EA1C" w14:paraId="422E9413" w14:textId="37A6A2BD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$550</w:t>
            </w:r>
          </w:p>
        </w:tc>
        <w:tc>
          <w:tcPr>
            <w:tcW w:w="2040" w:type="dxa"/>
            <w:tcMar/>
            <w:vAlign w:val="center"/>
          </w:tcPr>
          <w:p w:rsidR="6FD9EA1C" w:rsidP="6FD9EA1C" w:rsidRDefault="6FD9EA1C" w14:paraId="2D7CB1FC" w14:textId="27FB5CA1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$650</w:t>
            </w:r>
          </w:p>
        </w:tc>
      </w:tr>
      <w:tr w:rsidR="6FD9EA1C" w:rsidTr="10B808DC" w14:paraId="146E10BE">
        <w:trPr>
          <w:trHeight w:val="300"/>
        </w:trPr>
        <w:tc>
          <w:tcPr>
            <w:tcW w:w="3495" w:type="dxa"/>
            <w:tcMar/>
            <w:vAlign w:val="center"/>
          </w:tcPr>
          <w:p w:rsidR="6FD9EA1C" w:rsidP="6FD9EA1C" w:rsidRDefault="6FD9EA1C" w14:paraId="40450FDC" w14:textId="3EF082C2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Daily Registration – Student</w:t>
            </w:r>
          </w:p>
        </w:tc>
        <w:tc>
          <w:tcPr>
            <w:tcW w:w="3531" w:type="dxa"/>
            <w:tcMar/>
            <w:vAlign w:val="center"/>
          </w:tcPr>
          <w:p w:rsidR="6FD9EA1C" w:rsidP="6FD9EA1C" w:rsidRDefault="6FD9EA1C" w14:paraId="41349CCA" w14:textId="57F0576F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$380</w:t>
            </w:r>
          </w:p>
        </w:tc>
        <w:tc>
          <w:tcPr>
            <w:tcW w:w="2040" w:type="dxa"/>
            <w:tcMar/>
            <w:vAlign w:val="center"/>
          </w:tcPr>
          <w:p w:rsidR="6FD9EA1C" w:rsidP="6FD9EA1C" w:rsidRDefault="6FD9EA1C" w14:paraId="410D8783" w14:textId="425E4B4C">
            <w:pPr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$480</w:t>
            </w:r>
          </w:p>
        </w:tc>
      </w:tr>
    </w:tbl>
    <w:p w:rsidR="00100236" w:rsidP="6FD9EA1C" w:rsidRDefault="00100236" w14:paraId="2274B996" w14:textId="29DAB8FC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6FD9EA1C" w:rsidR="6FD9EA1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Other Estimated Expenses</w:t>
      </w:r>
    </w:p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4080"/>
        <w:gridCol w:w="2699"/>
      </w:tblGrid>
      <w:tr w:rsidR="6FD9EA1C" w:rsidTr="6B959DBC" w14:paraId="1334C0BB">
        <w:trPr>
          <w:trHeight w:val="300"/>
        </w:trPr>
        <w:tc>
          <w:tcPr>
            <w:tcW w:w="4080" w:type="dxa"/>
            <w:tcMar/>
            <w:vAlign w:val="center"/>
          </w:tcPr>
          <w:p w:rsidR="6FD9EA1C" w:rsidP="6FD9EA1C" w:rsidRDefault="6FD9EA1C" w14:paraId="4186B793" w14:textId="110E58A3">
            <w:pPr>
              <w:bidi w:val="0"/>
              <w:spacing w:before="0" w:beforeAutospacing="off" w:after="0" w:afterAutospacing="off"/>
              <w:jc w:val="left"/>
              <w:rPr>
                <w:b w:val="1"/>
                <w:bCs w:val="1"/>
                <w:color w:val="auto"/>
              </w:rPr>
            </w:pPr>
            <w:r w:rsidRPr="6FD9EA1C" w:rsidR="6FD9EA1C">
              <w:rPr>
                <w:b w:val="1"/>
                <w:bCs w:val="1"/>
                <w:color w:val="auto"/>
              </w:rPr>
              <w:t>Expense</w:t>
            </w:r>
          </w:p>
        </w:tc>
        <w:tc>
          <w:tcPr>
            <w:tcW w:w="2699" w:type="dxa"/>
            <w:tcMar/>
            <w:vAlign w:val="center"/>
          </w:tcPr>
          <w:p w:rsidR="6FD9EA1C" w:rsidP="6FD9EA1C" w:rsidRDefault="6FD9EA1C" w14:paraId="06F9DFDA" w14:textId="574F9331">
            <w:pPr>
              <w:bidi w:val="0"/>
              <w:spacing w:before="0" w:beforeAutospacing="off" w:after="0" w:afterAutospacing="off"/>
              <w:jc w:val="left"/>
              <w:rPr>
                <w:b w:val="1"/>
                <w:bCs w:val="1"/>
                <w:color w:val="auto"/>
              </w:rPr>
            </w:pPr>
            <w:r w:rsidRPr="6FD9EA1C" w:rsidR="6FD9EA1C">
              <w:rPr>
                <w:b w:val="1"/>
                <w:bCs w:val="1"/>
                <w:color w:val="auto"/>
              </w:rPr>
              <w:t>Estimated Cost</w:t>
            </w:r>
          </w:p>
        </w:tc>
      </w:tr>
      <w:tr w:rsidR="6FD9EA1C" w:rsidTr="6B959DBC" w14:paraId="6B1C7BA4">
        <w:trPr>
          <w:trHeight w:val="300"/>
        </w:trPr>
        <w:tc>
          <w:tcPr>
            <w:tcW w:w="4080" w:type="dxa"/>
            <w:tcMar/>
            <w:vAlign w:val="center"/>
          </w:tcPr>
          <w:p w:rsidR="6FD9EA1C" w:rsidP="6FD9EA1C" w:rsidRDefault="6FD9EA1C" w14:paraId="24BF41BA" w14:textId="7938D926">
            <w:pPr>
              <w:bidi w:val="0"/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Transportation</w:t>
            </w:r>
          </w:p>
        </w:tc>
        <w:tc>
          <w:tcPr>
            <w:tcW w:w="2699" w:type="dxa"/>
            <w:tcMar/>
            <w:vAlign w:val="center"/>
          </w:tcPr>
          <w:p w:rsidR="6FD9EA1C" w:rsidP="6FD9EA1C" w:rsidRDefault="6FD9EA1C" w14:paraId="23DA682D" w14:textId="06433F1B">
            <w:pPr>
              <w:bidi w:val="0"/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$_____</w:t>
            </w:r>
          </w:p>
        </w:tc>
      </w:tr>
      <w:tr w:rsidR="6FD9EA1C" w:rsidTr="6B959DBC" w14:paraId="3005E590">
        <w:trPr>
          <w:trHeight w:val="300"/>
        </w:trPr>
        <w:tc>
          <w:tcPr>
            <w:tcW w:w="4080" w:type="dxa"/>
            <w:tcMar/>
            <w:vAlign w:val="center"/>
          </w:tcPr>
          <w:p w:rsidR="6FD9EA1C" w:rsidP="6FD9EA1C" w:rsidRDefault="6FD9EA1C" w14:paraId="0B932C5B" w14:textId="46F3FA8A">
            <w:pPr>
              <w:bidi w:val="0"/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Hotel (Holiday Inn / Staybridge Suites)</w:t>
            </w:r>
          </w:p>
        </w:tc>
        <w:tc>
          <w:tcPr>
            <w:tcW w:w="2699" w:type="dxa"/>
            <w:tcMar/>
            <w:vAlign w:val="center"/>
          </w:tcPr>
          <w:p w:rsidR="6FD9EA1C" w:rsidP="6FD9EA1C" w:rsidRDefault="6FD9EA1C" w14:paraId="20F59C11" w14:textId="768A9A53">
            <w:pPr>
              <w:bidi w:val="0"/>
              <w:spacing w:before="0" w:beforeAutospacing="off" w:after="0" w:afterAutospacing="off"/>
              <w:rPr>
                <w:color w:val="auto"/>
              </w:rPr>
            </w:pPr>
            <w:r w:rsidRPr="6B959DBC" w:rsidR="6FD9EA1C">
              <w:rPr>
                <w:color w:val="auto"/>
              </w:rPr>
              <w:t>$189</w:t>
            </w:r>
            <w:r w:rsidRPr="6B959DBC" w:rsidR="0AE75C67">
              <w:rPr>
                <w:color w:val="auto"/>
              </w:rPr>
              <w:t xml:space="preserve"> - </w:t>
            </w:r>
            <w:r w:rsidRPr="6B959DBC" w:rsidR="6FD9EA1C">
              <w:rPr>
                <w:color w:val="auto"/>
              </w:rPr>
              <w:t>$229 per night</w:t>
            </w:r>
          </w:p>
        </w:tc>
      </w:tr>
      <w:tr w:rsidR="6FD9EA1C" w:rsidTr="6B959DBC" w14:paraId="3FF43FCA">
        <w:trPr>
          <w:trHeight w:val="300"/>
        </w:trPr>
        <w:tc>
          <w:tcPr>
            <w:tcW w:w="4080" w:type="dxa"/>
            <w:tcMar/>
            <w:vAlign w:val="center"/>
          </w:tcPr>
          <w:p w:rsidR="6FD9EA1C" w:rsidP="6FD9EA1C" w:rsidRDefault="6FD9EA1C" w14:paraId="23690944" w14:textId="702289D2">
            <w:pPr>
              <w:bidi w:val="0"/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Additional Meals (if any)</w:t>
            </w:r>
          </w:p>
        </w:tc>
        <w:tc>
          <w:tcPr>
            <w:tcW w:w="2699" w:type="dxa"/>
            <w:tcMar/>
            <w:vAlign w:val="center"/>
          </w:tcPr>
          <w:p w:rsidR="6FD9EA1C" w:rsidP="6FD9EA1C" w:rsidRDefault="6FD9EA1C" w14:paraId="51AB8FED" w14:textId="46F3F941">
            <w:pPr>
              <w:bidi w:val="0"/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$0 – core meals included</w:t>
            </w:r>
          </w:p>
        </w:tc>
      </w:tr>
      <w:tr w:rsidR="6FD9EA1C" w:rsidTr="6B959DBC" w14:paraId="61E5146E">
        <w:trPr>
          <w:trHeight w:val="300"/>
        </w:trPr>
        <w:tc>
          <w:tcPr>
            <w:tcW w:w="4080" w:type="dxa"/>
            <w:tcMar/>
            <w:vAlign w:val="center"/>
          </w:tcPr>
          <w:p w:rsidR="6FD9EA1C" w:rsidP="6FD9EA1C" w:rsidRDefault="6FD9EA1C" w14:paraId="606578C6" w14:textId="7DDDB491">
            <w:pPr>
              <w:bidi w:val="0"/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Total Estimated Cost</w:t>
            </w:r>
          </w:p>
        </w:tc>
        <w:tc>
          <w:tcPr>
            <w:tcW w:w="2699" w:type="dxa"/>
            <w:tcMar/>
            <w:vAlign w:val="center"/>
          </w:tcPr>
          <w:p w:rsidR="6FD9EA1C" w:rsidP="6FD9EA1C" w:rsidRDefault="6FD9EA1C" w14:paraId="49672324" w14:textId="40D4F58B">
            <w:pPr>
              <w:bidi w:val="0"/>
              <w:spacing w:before="0" w:beforeAutospacing="off" w:after="0" w:afterAutospacing="off"/>
              <w:rPr>
                <w:color w:val="auto"/>
              </w:rPr>
            </w:pPr>
            <w:r w:rsidRPr="6FD9EA1C" w:rsidR="6FD9EA1C">
              <w:rPr>
                <w:color w:val="auto"/>
              </w:rPr>
              <w:t>$_____</w:t>
            </w:r>
          </w:p>
        </w:tc>
      </w:tr>
    </w:tbl>
    <w:p w:rsidR="00100236" w:rsidP="10B808DC" w:rsidRDefault="00100236" w14:paraId="2FAFB7D4" w14:textId="636F01D7">
      <w:pPr>
        <w:pStyle w:val="Heading2"/>
        <w:bidi w:val="0"/>
        <w:spacing w:before="281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0B808DC" w:rsidR="6FD9EA1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Return on Investment</w:t>
      </w:r>
    </w:p>
    <w:p w:rsidR="00100236" w:rsidP="6FD9EA1C" w:rsidRDefault="00100236" w14:paraId="3146873D" w14:textId="70652238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Approving this request will provide our BIA </w:t>
      </w:r>
      <w:r w:rsidRPr="6B959DBC" w:rsidR="1BADE81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/ Municipality </w:t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with:</w:t>
      </w:r>
    </w:p>
    <w:p w:rsidR="00100236" w:rsidP="6FD9EA1C" w:rsidRDefault="00100236" w14:paraId="2CB3B342" w14:textId="4826FFE7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Actionable tools and insights to support members, programming, and strategic priorities</w:t>
      </w:r>
      <w:r>
        <w:br/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• Exposure to proven models and solutions used successfully by BIAs </w:t>
      </w:r>
      <w:r w:rsidRPr="6B959DBC" w:rsidR="11A1C44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and Municipalities </w:t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across Ontario</w:t>
      </w:r>
      <w:r>
        <w:br/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Stronger relationships with municipal partners, peers, and suppliers</w:t>
      </w:r>
      <w:r>
        <w:br/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New ideas for economic development, beautification, operations, and member engagement</w:t>
      </w:r>
      <w:r>
        <w:br/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Professional development that strengthens staff capacity and organizational effectiveness</w:t>
      </w:r>
      <w:r>
        <w:br/>
      </w:r>
      <w:r w:rsidRPr="6B959DB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Reduced need for external consulting or independent research by learning from experts and peers</w:t>
      </w:r>
    </w:p>
    <w:p w:rsidR="00100236" w:rsidP="6FD9EA1C" w:rsidRDefault="00100236" w14:paraId="59133145" w14:textId="7F3E8303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 value gained from attending</w:t>
      </w:r>
      <w:r w:rsidRPr="06A99F87" w:rsidR="3D12FDA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6A99F87" w:rsidR="001AD179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-</w:t>
      </w:r>
      <w:r w:rsidRPr="06A99F87" w:rsidR="3D12FDA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through education, connections, suppliers, and real-world examples</w:t>
      </w:r>
      <w:r w:rsidRPr="06A99F87" w:rsidR="5CBB858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- </w:t>
      </w:r>
      <w:r w:rsidRPr="06A99F87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directly enhances the work we deliver to our members and community.</w:t>
      </w:r>
    </w:p>
    <w:p w:rsidR="00100236" w:rsidP="6FD9EA1C" w:rsidRDefault="00100236" w14:paraId="70FF9B91" w14:textId="644E42C4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FD9EA1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Thank you for considering this request. I am confident that attending the 2026 OBIAA Conference will provide meaningful benefits to our BIA and strengthen our ability to serve the community.</w:t>
      </w:r>
    </w:p>
    <w:p w:rsidR="00100236" w:rsidP="10B808DC" w:rsidRDefault="00100236" w14:paraId="4C5E7E42" w14:textId="0BBC5D97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Sincerely,</w:t>
      </w:r>
      <w:r>
        <w:br/>
      </w:r>
      <w:r w:rsidRPr="10B808DC" w:rsidR="6FD9EA1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&lt;Your Name&gt;</w:t>
      </w:r>
    </w:p>
    <w:sectPr w:rsidR="00100236">
      <w:pgSz w:w="12240" w:h="15840" w:orient="portrait"/>
      <w:pgMar w:top="960" w:right="1440" w:bottom="280" w:left="1440" w:header="720" w:footer="720" w:gutter="0"/>
      <w:cols w:space="720"/>
      <w:titlePg w:val="1"/>
      <w:headerReference w:type="default" r:id="R0be399632ff94d15"/>
      <w:headerReference w:type="first" r:id="R6071bb4597334933"/>
      <w:footerReference w:type="default" r:id="Rf20e62c47d794701"/>
      <w:footerReference w:type="first" r:id="Rf69ead302f734a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D9EA1C" w:rsidTr="6FD9EA1C" w14:paraId="71EF93EB">
      <w:trPr>
        <w:trHeight w:val="300"/>
      </w:trPr>
      <w:tc>
        <w:tcPr>
          <w:tcW w:w="3120" w:type="dxa"/>
          <w:tcMar/>
        </w:tcPr>
        <w:p w:rsidR="6FD9EA1C" w:rsidP="6FD9EA1C" w:rsidRDefault="6FD9EA1C" w14:paraId="52E0D106" w14:textId="4245AE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FD9EA1C" w:rsidP="6FD9EA1C" w:rsidRDefault="6FD9EA1C" w14:paraId="656AD3F9" w14:textId="730E87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D9EA1C" w:rsidP="6FD9EA1C" w:rsidRDefault="6FD9EA1C" w14:paraId="16333847" w14:textId="1FDB017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FD9EA1C" w:rsidP="6FD9EA1C" w:rsidRDefault="6FD9EA1C" w14:paraId="23473959" w14:textId="555DCEC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p w:rsidR="6FD9EA1C" w:rsidP="6FD9EA1C" w:rsidRDefault="6FD9EA1C" w14:paraId="7A725C2D" w14:textId="5B6EA04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6FD9EA1C" w:rsidP="6FD9EA1C" w:rsidRDefault="6FD9EA1C" w14:paraId="25A1154D" w14:textId="6B364FB6">
    <w:pPr>
      <w:pStyle w:val="Header"/>
      <w:bidi w:val="0"/>
      <w:jc w:val="cent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FD9EA1C" w:rsidP="6FD9EA1C" w:rsidRDefault="6FD9EA1C" w14:paraId="7331D777" w14:textId="6402BEE0">
    <w:pPr>
      <w:pStyle w:val="Header"/>
      <w:bidi w:val="0"/>
    </w:pPr>
    <w:r>
      <w:drawing>
        <wp:inline wp14:editId="6F3D7D85" wp14:anchorId="54366137">
          <wp:extent cx="5943600" cy="1571625"/>
          <wp:effectExtent l="0" t="0" r="0" b="0"/>
          <wp:docPr id="109638784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96387846" name="Picture 1096387846"/>
                  <pic:cNvPicPr/>
                </pic:nvPicPr>
                <pic:blipFill>
                  <a:blip xmlns:r="http://schemas.openxmlformats.org/officeDocument/2006/relationships" r:embed="rId132945028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7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DE4"/>
    <w:rsid w:val="00060BA2"/>
    <w:rsid w:val="000D7DE4"/>
    <w:rsid w:val="00100236"/>
    <w:rsid w:val="001AD179"/>
    <w:rsid w:val="00224527"/>
    <w:rsid w:val="006A6855"/>
    <w:rsid w:val="00717F46"/>
    <w:rsid w:val="00765A23"/>
    <w:rsid w:val="007F6B98"/>
    <w:rsid w:val="00986B7A"/>
    <w:rsid w:val="00D1646C"/>
    <w:rsid w:val="01B35573"/>
    <w:rsid w:val="05C24013"/>
    <w:rsid w:val="063F9AE2"/>
    <w:rsid w:val="06A99F87"/>
    <w:rsid w:val="06F2DB2F"/>
    <w:rsid w:val="07253921"/>
    <w:rsid w:val="0AE75C67"/>
    <w:rsid w:val="1025941F"/>
    <w:rsid w:val="10B808DC"/>
    <w:rsid w:val="10D0AA8B"/>
    <w:rsid w:val="11A1C44C"/>
    <w:rsid w:val="124C7617"/>
    <w:rsid w:val="14F17390"/>
    <w:rsid w:val="151F00BF"/>
    <w:rsid w:val="18E91DB2"/>
    <w:rsid w:val="1BA99785"/>
    <w:rsid w:val="1BADE81E"/>
    <w:rsid w:val="1F435244"/>
    <w:rsid w:val="2034DEBB"/>
    <w:rsid w:val="2272DF3D"/>
    <w:rsid w:val="24FE422F"/>
    <w:rsid w:val="292F9EEA"/>
    <w:rsid w:val="2B0000EF"/>
    <w:rsid w:val="34A722ED"/>
    <w:rsid w:val="39E0C179"/>
    <w:rsid w:val="3D12FDAE"/>
    <w:rsid w:val="3D5EF973"/>
    <w:rsid w:val="3E6C47FB"/>
    <w:rsid w:val="3F4705A7"/>
    <w:rsid w:val="422461C8"/>
    <w:rsid w:val="4288DBA5"/>
    <w:rsid w:val="48101FB8"/>
    <w:rsid w:val="4819088D"/>
    <w:rsid w:val="4B09309E"/>
    <w:rsid w:val="4B13739D"/>
    <w:rsid w:val="4C381809"/>
    <w:rsid w:val="50AA4CCF"/>
    <w:rsid w:val="5B66BC06"/>
    <w:rsid w:val="5CBB858C"/>
    <w:rsid w:val="5E6E2F04"/>
    <w:rsid w:val="5EF52B47"/>
    <w:rsid w:val="63812D10"/>
    <w:rsid w:val="66ED0703"/>
    <w:rsid w:val="6AFAB571"/>
    <w:rsid w:val="6B959DBC"/>
    <w:rsid w:val="6F727D6C"/>
    <w:rsid w:val="6FD9EA1C"/>
    <w:rsid w:val="7A000A10"/>
    <w:rsid w:val="7EED3599"/>
    <w:rsid w:val="7FC88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D20F5"/>
  <w15:docId w15:val="{5E10F968-70BF-4DA7-948A-4128C53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28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3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72" w:lineRule="exact"/>
      <w:ind w:left="107"/>
    </w:pPr>
  </w:style>
  <w:style w:type="character" w:styleId="BodyTextChar" w:customStyle="1">
    <w:name w:val="Body Text Char"/>
    <w:basedOn w:val="DefaultParagraphFont"/>
    <w:link w:val="BodyText"/>
    <w:uiPriority w:val="1"/>
    <w:rsid w:val="00717F46"/>
    <w:rPr>
      <w:rFonts w:ascii="Calibri" w:hAnsi="Calibri" w:eastAsia="Calibri" w:cs="Calibri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717F46"/>
    <w:rPr>
      <w:rFonts w:ascii="Calibri" w:hAnsi="Calibri" w:eastAsia="Calibri" w:cs="Calibri"/>
      <w:b/>
      <w:bCs/>
      <w:sz w:val="26"/>
      <w:szCs w:val="26"/>
    </w:rPr>
  </w:style>
  <w:style w:type="paragraph" w:styleId="Heading2">
    <w:uiPriority w:val="9"/>
    <w:name w:val="heading 2"/>
    <w:basedOn w:val="Normal"/>
    <w:next w:val="Normal"/>
    <w:unhideWhenUsed/>
    <w:qFormat/>
    <w:rsid w:val="6FD9EA1C"/>
    <w:rPr>
      <w:rFonts w:ascii="Cambria" w:hAnsi="Cambria" w:eastAsia="ＭＳ ゴシック" w:cs="Times New Roman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FD9EA1C"/>
    <w:rPr>
      <w:rFonts w:eastAsia="ＭＳ ゴシック" w:cs="Times New Roman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6FD9EA1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D9EA1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0be399632ff94d15" /><Relationship Type="http://schemas.openxmlformats.org/officeDocument/2006/relationships/header" Target="header2.xml" Id="R6071bb4597334933" /><Relationship Type="http://schemas.openxmlformats.org/officeDocument/2006/relationships/footer" Target="footer.xml" Id="Rf20e62c47d794701" /><Relationship Type="http://schemas.openxmlformats.org/officeDocument/2006/relationships/footer" Target="footer2.xml" Id="Rf69ead302f7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3294502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19" ma:contentTypeDescription="Create a new document." ma:contentTypeScope="" ma:versionID="1a0468db22acc05aab03e11cf6c969f7">
  <xsd:schema xmlns:xsd="http://www.w3.org/2001/XMLSchema" xmlns:xs="http://www.w3.org/2001/XMLSchema" xmlns:p="http://schemas.microsoft.com/office/2006/metadata/properties" xmlns:ns2="82da5e3b-3c41-49f3-a66a-1750694b7701" xmlns:ns3="12029c3d-9d62-404e-83f5-50859537edab" targetNamespace="http://schemas.microsoft.com/office/2006/metadata/properties" ma:root="true" ma:fieldsID="fc7e55e77229623a5618abe18b5655eb" ns2:_="" ns3:_="">
    <xsd:import namespace="82da5e3b-3c41-49f3-a66a-1750694b7701"/>
    <xsd:import namespace="12029c3d-9d62-404e-83f5-50859537e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29f7d-da7c-4c9b-9468-b73482807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9c3d-9d62-404e-83f5-50859537e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56735-93ab-4fef-9377-b54535c34690}" ma:internalName="TaxCatchAll" ma:showField="CatchAllData" ma:web="12029c3d-9d62-404e-83f5-50859537e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29c3d-9d62-404e-83f5-50859537edab" xsi:nil="true"/>
    <lcf76f155ced4ddcb4097134ff3c332f xmlns="82da5e3b-3c41-49f3-a66a-1750694b7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8786C-A7A4-4B02-A84E-D0856F737AD3}"/>
</file>

<file path=customXml/itemProps2.xml><?xml version="1.0" encoding="utf-8"?>
<ds:datastoreItem xmlns:ds="http://schemas.openxmlformats.org/officeDocument/2006/customXml" ds:itemID="{65BA2EDD-1F0C-4D38-ADD0-28C2FB958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1E8FB-5A63-4552-B343-17A4E65D60C4}">
  <ds:schemaRefs>
    <ds:schemaRef ds:uri="http://schemas.microsoft.com/office/2006/metadata/properties"/>
    <ds:schemaRef ds:uri="http://schemas.microsoft.com/office/infopath/2007/PartnerControls"/>
    <ds:schemaRef ds:uri="9ef220a1-c01c-401e-b709-2aba3097eb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Hick</dc:creator>
  <keywords/>
  <lastModifiedBy>OBIAA  Events</lastModifiedBy>
  <revision>7</revision>
  <dcterms:created xsi:type="dcterms:W3CDTF">2025-07-02T18:38:00.0000000Z</dcterms:created>
  <dcterms:modified xsi:type="dcterms:W3CDTF">2025-11-28T14:07:13.5196354Z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0x0101004904D42BAD799D41AC221289815B61DE</vt:lpwstr>
  </property>
  <property fmtid="{D5CDD505-2E9C-101B-9397-08002B2CF9AE}" pid="7" name="MediaServiceImageTags">
    <vt:lpwstr/>
  </property>
</Properties>
</file>